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19FC" w:rsidRPr="00224547" w:rsidRDefault="00224547">
      <w:pPr>
        <w:rPr>
          <w:b/>
        </w:rPr>
      </w:pPr>
      <w:r w:rsidRPr="00224547">
        <w:rPr>
          <w:b/>
        </w:rPr>
        <w:t>Un automne de suivi de migration nocturne par enregistrement continu (ENC) à Coutances</w:t>
      </w:r>
    </w:p>
    <w:p w:rsidR="00224547" w:rsidRDefault="00224547"/>
    <w:p w:rsidR="00224547" w:rsidRDefault="00224547">
      <w:r>
        <w:t xml:space="preserve">La migration nocturne a été suivie par la pose d’un enregistreur au cours de 52 nuits entre le 26 septembre et le 20 décembre, soit la quasi-totalité de l’automne 2025. L’enregistreur de type </w:t>
      </w:r>
      <w:proofErr w:type="spellStart"/>
      <w:r>
        <w:t>Audiomoth</w:t>
      </w:r>
      <w:proofErr w:type="spellEnd"/>
      <w:r>
        <w:t xml:space="preserve"> était posé de la plus simple et bête façon sur une balustrade de fenêtre en en centre-ville, chez l’observateur, dans un environnement</w:t>
      </w:r>
      <w:r w:rsidR="004E1B49">
        <w:t xml:space="preserve"> densément bâti et mal dégagé.</w:t>
      </w:r>
    </w:p>
    <w:p w:rsidR="00224547" w:rsidRDefault="00224547">
      <w:r>
        <w:t xml:space="preserve">L’enregistreur est paramétré pour couvrir la période allant du crépuscule civil à l’aube civile, afin de se mettre en conformité avec le protocole Vol de nuit de la LPO. Seules les nuits annoncées comme très pluvieuses </w:t>
      </w:r>
      <w:r w:rsidR="002E6440">
        <w:t xml:space="preserve">ou très venteuses </w:t>
      </w:r>
      <w:r>
        <w:t>sont évitées</w:t>
      </w:r>
      <w:r w:rsidR="002E6440">
        <w:t>, pour la simple raison que le</w:t>
      </w:r>
      <w:r w:rsidR="00EE1058">
        <w:t>s cris sont alors indétectables.</w:t>
      </w:r>
      <w:r w:rsidR="00A31423">
        <w:t xml:space="preserve"> Concrètement, l’enregistreur a fonctionné aux dates correspondant, ci-dessous, aux cases vertes.</w:t>
      </w:r>
    </w:p>
    <w:p w:rsidR="001A3EC1" w:rsidRDefault="001A3EC1"/>
    <w:tbl>
      <w:tblPr>
        <w:tblW w:w="3675" w:type="dxa"/>
        <w:jc w:val="center"/>
        <w:tblCellMar>
          <w:left w:w="70" w:type="dxa"/>
          <w:right w:w="70" w:type="dxa"/>
        </w:tblCellMar>
        <w:tblLook w:val="04A0" w:firstRow="1" w:lastRow="0" w:firstColumn="1" w:lastColumn="0" w:noHBand="0" w:noVBand="1"/>
      </w:tblPr>
      <w:tblGrid>
        <w:gridCol w:w="834"/>
        <w:gridCol w:w="923"/>
        <w:gridCol w:w="710"/>
        <w:gridCol w:w="879"/>
        <w:gridCol w:w="879"/>
      </w:tblGrid>
      <w:tr w:rsidR="001A3EC1" w:rsidRPr="001A3EC1" w:rsidTr="001A3EC1">
        <w:trPr>
          <w:trHeight w:val="255"/>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Mois/Jour</w:t>
            </w:r>
          </w:p>
        </w:tc>
        <w:tc>
          <w:tcPr>
            <w:tcW w:w="813" w:type="dxa"/>
            <w:tcBorders>
              <w:top w:val="single" w:sz="4" w:space="0" w:color="auto"/>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Septembre</w:t>
            </w:r>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Octobre</w:t>
            </w:r>
          </w:p>
        </w:tc>
        <w:tc>
          <w:tcPr>
            <w:tcW w:w="769" w:type="dxa"/>
            <w:tcBorders>
              <w:top w:val="single" w:sz="4" w:space="0" w:color="auto"/>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Novembre</w:t>
            </w:r>
          </w:p>
        </w:tc>
        <w:tc>
          <w:tcPr>
            <w:tcW w:w="769" w:type="dxa"/>
            <w:tcBorders>
              <w:top w:val="single" w:sz="4" w:space="0" w:color="auto"/>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Décembre</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3</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4</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5</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6</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7</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8</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9</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10</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11</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12</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13</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14</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15</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16</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17</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18</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19</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20</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21</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22</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23</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24</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25</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26</w:t>
            </w:r>
          </w:p>
        </w:tc>
        <w:tc>
          <w:tcPr>
            <w:tcW w:w="813"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27</w:t>
            </w:r>
          </w:p>
        </w:tc>
        <w:tc>
          <w:tcPr>
            <w:tcW w:w="813"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28</w:t>
            </w:r>
          </w:p>
        </w:tc>
        <w:tc>
          <w:tcPr>
            <w:tcW w:w="813"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29</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30</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000000" w:fill="C6EFCE"/>
            <w:noWrap/>
            <w:vAlign w:val="bottom"/>
            <w:hideMark/>
          </w:tcPr>
          <w:p w:rsidR="001A3EC1" w:rsidRPr="001A3EC1" w:rsidRDefault="001A3EC1" w:rsidP="001A3EC1">
            <w:pPr>
              <w:jc w:val="left"/>
              <w:rPr>
                <w:rFonts w:ascii="Calibri" w:eastAsia="Times New Roman" w:hAnsi="Calibri" w:cs="Calibri"/>
                <w:color w:val="006100"/>
                <w:sz w:val="16"/>
                <w:szCs w:val="16"/>
                <w:lang w:eastAsia="fr-FR"/>
              </w:rPr>
            </w:pPr>
            <w:r w:rsidRPr="001A3EC1">
              <w:rPr>
                <w:rFonts w:ascii="Calibri" w:eastAsia="Times New Roman" w:hAnsi="Calibri" w:cs="Calibri"/>
                <w:color w:val="006100"/>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r w:rsidR="001A3EC1" w:rsidRPr="001A3EC1" w:rsidTr="001A3EC1">
        <w:trPr>
          <w:trHeight w:val="255"/>
          <w:jc w:val="center"/>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1A3EC1" w:rsidRPr="001A3EC1" w:rsidRDefault="001A3EC1" w:rsidP="001A3EC1">
            <w:pPr>
              <w:jc w:val="right"/>
              <w:rPr>
                <w:rFonts w:ascii="Arial" w:eastAsia="Times New Roman" w:hAnsi="Arial" w:cs="Arial"/>
                <w:sz w:val="16"/>
                <w:szCs w:val="16"/>
                <w:lang w:eastAsia="fr-FR"/>
              </w:rPr>
            </w:pPr>
            <w:r w:rsidRPr="001A3EC1">
              <w:rPr>
                <w:rFonts w:ascii="Arial" w:eastAsia="Times New Roman" w:hAnsi="Arial" w:cs="Arial"/>
                <w:sz w:val="16"/>
                <w:szCs w:val="16"/>
                <w:lang w:eastAsia="fr-FR"/>
              </w:rPr>
              <w:t>31</w:t>
            </w:r>
          </w:p>
        </w:tc>
        <w:tc>
          <w:tcPr>
            <w:tcW w:w="813"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600"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c>
          <w:tcPr>
            <w:tcW w:w="769" w:type="dxa"/>
            <w:tcBorders>
              <w:top w:val="nil"/>
              <w:left w:val="nil"/>
              <w:bottom w:val="single" w:sz="4" w:space="0" w:color="auto"/>
              <w:right w:val="single" w:sz="4" w:space="0" w:color="auto"/>
            </w:tcBorders>
            <w:shd w:val="clear" w:color="auto" w:fill="auto"/>
            <w:noWrap/>
            <w:vAlign w:val="bottom"/>
            <w:hideMark/>
          </w:tcPr>
          <w:p w:rsidR="001A3EC1" w:rsidRPr="001A3EC1" w:rsidRDefault="001A3EC1" w:rsidP="001A3EC1">
            <w:pPr>
              <w:jc w:val="left"/>
              <w:rPr>
                <w:rFonts w:ascii="Arial" w:eastAsia="Times New Roman" w:hAnsi="Arial" w:cs="Arial"/>
                <w:sz w:val="16"/>
                <w:szCs w:val="16"/>
                <w:lang w:eastAsia="fr-FR"/>
              </w:rPr>
            </w:pPr>
            <w:r w:rsidRPr="001A3EC1">
              <w:rPr>
                <w:rFonts w:ascii="Arial" w:eastAsia="Times New Roman" w:hAnsi="Arial" w:cs="Arial"/>
                <w:sz w:val="16"/>
                <w:szCs w:val="16"/>
                <w:lang w:eastAsia="fr-FR"/>
              </w:rPr>
              <w:t> </w:t>
            </w:r>
          </w:p>
        </w:tc>
      </w:tr>
    </w:tbl>
    <w:p w:rsidR="001A3EC1" w:rsidRDefault="001A3EC1"/>
    <w:p w:rsidR="0052566A" w:rsidRDefault="0052566A">
      <w:r>
        <w:t xml:space="preserve">Du côté de la météo, la rose des vents présente cette allure, les 3 tranches de vitesse étant 0-4 km/h, 4-8 et 8-12, la vitesse maximale relevée étant de </w:t>
      </w:r>
      <w:r w:rsidR="003D3FE2">
        <w:t>12 km/h (on retient la valeur principale et non la valeur en rafales). Les vents de sud sont fortement prédominants (sud 40% ; sud-ouest 11%).</w:t>
      </w:r>
    </w:p>
    <w:p w:rsidR="0052566A" w:rsidRDefault="0052566A"/>
    <w:p w:rsidR="0052566A" w:rsidRDefault="00EE1058" w:rsidP="001A3EC1">
      <w:pPr>
        <w:jc w:val="center"/>
      </w:pPr>
      <w:r>
        <w:rPr>
          <w:noProof/>
          <w:lang w:eastAsia="fr-FR"/>
        </w:rPr>
        <w:lastRenderedPageBreak/>
        <w:drawing>
          <wp:inline distT="0" distB="0" distL="0" distR="0" wp14:anchorId="0B78B215" wp14:editId="315F3C3C">
            <wp:extent cx="5274945" cy="2686050"/>
            <wp:effectExtent l="0" t="0" r="1905"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52566A" w:rsidRDefault="0052566A"/>
    <w:p w:rsidR="00CF013E" w:rsidRDefault="00224547" w:rsidP="00CF013E">
      <w:r>
        <w:t xml:space="preserve">Le dépouillement des nuits est effectué à l’aide du logiciel </w:t>
      </w:r>
      <w:proofErr w:type="spellStart"/>
      <w:r>
        <w:t>Audacity</w:t>
      </w:r>
      <w:proofErr w:type="spellEnd"/>
      <w:r>
        <w:t xml:space="preserve"> qui permet de visualiser les </w:t>
      </w:r>
      <w:proofErr w:type="spellStart"/>
      <w:r>
        <w:t>sonogrammes</w:t>
      </w:r>
      <w:proofErr w:type="spellEnd"/>
      <w:r>
        <w:t xml:space="preserve">. Les données ont été saisies sur Faune-Normandie et sur </w:t>
      </w:r>
      <w:proofErr w:type="spellStart"/>
      <w:r>
        <w:t>Trektellen</w:t>
      </w:r>
      <w:proofErr w:type="spellEnd"/>
      <w:r>
        <w:t xml:space="preserve"> dans le cadre du programme NOCMIG/Vol de nuit. Pour cette raison, la saisie de l’effectif suit la règle de ce dernier protocole : pour chaque passage d’oiseaux migrateurs, l’effectif retenu correspond au nombre de </w:t>
      </w:r>
      <w:proofErr w:type="spellStart"/>
      <w:r>
        <w:t>sonogrammes</w:t>
      </w:r>
      <w:proofErr w:type="spellEnd"/>
      <w:r w:rsidR="00BA4232">
        <w:t xml:space="preserve">. </w:t>
      </w:r>
      <w:r w:rsidR="00CF013E">
        <w:t xml:space="preserve">En revanche, lorsqu’il s’agit d’oiseaux locaux sans aucun doute (le Faucon pèlerin qui s’éveille soudain d’un cauchemar en criant à deux heures du matin, le Rougegorge qui pousse ses </w:t>
      </w:r>
      <w:proofErr w:type="spellStart"/>
      <w:r w:rsidR="00CF013E">
        <w:t>tic-tic</w:t>
      </w:r>
      <w:proofErr w:type="spellEnd"/>
      <w:r w:rsidR="00CF013E">
        <w:t xml:space="preserve"> d’alarme à partir de 6h du matin, le couple de Hulottes qui se répond pendant une demi-heure) on ne note qu’un individu (ou deux pour les hulottes).</w:t>
      </w:r>
      <w:r w:rsidR="004E1B49">
        <w:t xml:space="preserve"> </w:t>
      </w:r>
      <w:r w:rsidR="00CF013E">
        <w:t>Enfin, les cris de corvidés rejoignant ou quittant le dortoir situé à proximité ainsi que les Goélands argentés locaux ne sont pas pris en compte.</w:t>
      </w:r>
    </w:p>
    <w:p w:rsidR="00CF013E" w:rsidRDefault="00CF013E" w:rsidP="00CF013E"/>
    <w:p w:rsidR="00CF013E" w:rsidRDefault="00CF013E" w:rsidP="00CF013E">
      <w:r>
        <w:t>Sous ces modalités, un peu moins de 2500 oiseaux de passage migratoire ont été dénombrés au-dessus de Coutances, de nuit, à l’automne 2025. Le nombre d’espèces est très réduit et deux d’entre elles affichent une prépondérance écrasante : la Grive musicienne et surtout la Grive mauvis.</w:t>
      </w:r>
    </w:p>
    <w:p w:rsidR="00CF013E" w:rsidRDefault="00CF013E" w:rsidP="00CF013E"/>
    <w:p w:rsidR="00CF013E" w:rsidRDefault="00CF013E" w:rsidP="00CF013E">
      <w:r>
        <w:t>Le tableau suivant donne la liste des espèces contactées en migration et les effectifs retenus. Dans le cas des espèces à la fois présentes sur place et contactées en passage nocturne</w:t>
      </w:r>
      <w:r w:rsidR="0076564E">
        <w:t xml:space="preserve"> (Merle noir, Rougegorge familier)</w:t>
      </w:r>
      <w:r>
        <w:t xml:space="preserve">, </w:t>
      </w:r>
      <w:r w:rsidR="0076564E">
        <w:t>ce tableau ne retient que les données correspondant à des cris de vol. Une exception : la Bergeronnette grise qui stationne dans la ville et passe aussi en fin de nuit, pour laquelle il est impossible de trancher.</w:t>
      </w:r>
    </w:p>
    <w:p w:rsidR="0076564E" w:rsidRDefault="0076564E" w:rsidP="0076564E">
      <w:pPr>
        <w:jc w:val="center"/>
      </w:pPr>
    </w:p>
    <w:tbl>
      <w:tblPr>
        <w:tblW w:w="3440" w:type="dxa"/>
        <w:jc w:val="center"/>
        <w:tblCellMar>
          <w:left w:w="70" w:type="dxa"/>
          <w:right w:w="70" w:type="dxa"/>
        </w:tblCellMar>
        <w:tblLook w:val="04A0" w:firstRow="1" w:lastRow="0" w:firstColumn="1" w:lastColumn="0" w:noHBand="0" w:noVBand="1"/>
      </w:tblPr>
      <w:tblGrid>
        <w:gridCol w:w="2240"/>
        <w:gridCol w:w="1200"/>
      </w:tblGrid>
      <w:tr w:rsidR="0076564E" w:rsidRPr="0076564E" w:rsidTr="004E1B49">
        <w:trPr>
          <w:trHeight w:val="255"/>
          <w:tblHeader/>
          <w:jc w:val="center"/>
        </w:trPr>
        <w:tc>
          <w:tcPr>
            <w:tcW w:w="2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b/>
                <w:bCs/>
                <w:sz w:val="20"/>
                <w:szCs w:val="20"/>
                <w:lang w:eastAsia="fr-FR"/>
              </w:rPr>
            </w:pPr>
            <w:r w:rsidRPr="0076564E">
              <w:rPr>
                <w:rFonts w:ascii="Calibri" w:eastAsia="Times New Roman" w:hAnsi="Calibri" w:cs="Calibri"/>
                <w:b/>
                <w:bCs/>
                <w:sz w:val="20"/>
                <w:szCs w:val="20"/>
                <w:lang w:eastAsia="fr-FR"/>
              </w:rPr>
              <w:t>Espèce</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b/>
                <w:bCs/>
                <w:sz w:val="20"/>
                <w:szCs w:val="20"/>
                <w:lang w:eastAsia="fr-FR"/>
              </w:rPr>
            </w:pPr>
            <w:r w:rsidRPr="0076564E">
              <w:rPr>
                <w:rFonts w:ascii="Calibri" w:eastAsia="Times New Roman" w:hAnsi="Calibri" w:cs="Calibri"/>
                <w:b/>
                <w:bCs/>
                <w:sz w:val="20"/>
                <w:szCs w:val="20"/>
                <w:lang w:eastAsia="fr-FR"/>
              </w:rPr>
              <w:t>Contacts</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Bergeronnette grise</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14</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Bernache cravant</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10</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 xml:space="preserve">Courlis </w:t>
            </w:r>
            <w:proofErr w:type="spellStart"/>
            <w:r w:rsidRPr="0076564E">
              <w:rPr>
                <w:rFonts w:ascii="Calibri" w:eastAsia="Times New Roman" w:hAnsi="Calibri" w:cs="Calibri"/>
                <w:sz w:val="20"/>
                <w:szCs w:val="20"/>
                <w:lang w:eastAsia="fr-FR"/>
              </w:rPr>
              <w:t>corlieu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1</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Grive mauvis</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1818</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Grive musicienne</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551</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Merle noir</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50</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Pinson des arbres</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4</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Pipit farlouse</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1</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Roitelet à triple bandeau</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3</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Rougegorge familier</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20</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lastRenderedPageBreak/>
              <w:t>Tarin des aulnes</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1</w:t>
            </w:r>
          </w:p>
        </w:tc>
      </w:tr>
      <w:tr w:rsidR="0076564E" w:rsidRPr="0076564E" w:rsidTr="0076564E">
        <w:trPr>
          <w:trHeight w:val="255"/>
          <w:jc w:val="center"/>
        </w:trPr>
        <w:tc>
          <w:tcPr>
            <w:tcW w:w="2240" w:type="dxa"/>
            <w:tcBorders>
              <w:top w:val="nil"/>
              <w:left w:val="single" w:sz="4" w:space="0" w:color="auto"/>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Verdier d'Europe</w:t>
            </w:r>
          </w:p>
        </w:tc>
        <w:tc>
          <w:tcPr>
            <w:tcW w:w="1200" w:type="dxa"/>
            <w:tcBorders>
              <w:top w:val="nil"/>
              <w:left w:val="nil"/>
              <w:bottom w:val="single" w:sz="4" w:space="0" w:color="auto"/>
              <w:right w:val="single" w:sz="4" w:space="0" w:color="auto"/>
            </w:tcBorders>
            <w:shd w:val="clear" w:color="auto" w:fill="auto"/>
            <w:noWrap/>
            <w:vAlign w:val="center"/>
            <w:hideMark/>
          </w:tcPr>
          <w:p w:rsidR="0076564E" w:rsidRPr="0076564E" w:rsidRDefault="0076564E" w:rsidP="0076564E">
            <w:pPr>
              <w:jc w:val="center"/>
              <w:rPr>
                <w:rFonts w:ascii="Calibri" w:eastAsia="Times New Roman" w:hAnsi="Calibri" w:cs="Calibri"/>
                <w:sz w:val="20"/>
                <w:szCs w:val="20"/>
                <w:lang w:eastAsia="fr-FR"/>
              </w:rPr>
            </w:pPr>
            <w:r w:rsidRPr="0076564E">
              <w:rPr>
                <w:rFonts w:ascii="Calibri" w:eastAsia="Times New Roman" w:hAnsi="Calibri" w:cs="Calibri"/>
                <w:sz w:val="20"/>
                <w:szCs w:val="20"/>
                <w:lang w:eastAsia="fr-FR"/>
              </w:rPr>
              <w:t>5</w:t>
            </w:r>
          </w:p>
        </w:tc>
      </w:tr>
    </w:tbl>
    <w:p w:rsidR="00DE4DBE" w:rsidRDefault="009605A6">
      <w:r>
        <w:t>A</w:t>
      </w:r>
      <w:r w:rsidR="0052566A">
        <w:t>u moins cet automne, seul le passage de grives mérite une sorte d’analyse.</w:t>
      </w:r>
      <w:r>
        <w:t xml:space="preserve"> Les autres espèces sont présentes en effectifs quasiment anecdotiques.</w:t>
      </w:r>
    </w:p>
    <w:p w:rsidR="00DE4DBE" w:rsidRDefault="00DE4DBE"/>
    <w:p w:rsidR="00A31423" w:rsidRPr="00A31423" w:rsidRDefault="00A31423">
      <w:pPr>
        <w:rPr>
          <w:b/>
        </w:rPr>
      </w:pPr>
      <w:r>
        <w:rPr>
          <w:b/>
        </w:rPr>
        <w:t>Aperçu général</w:t>
      </w:r>
    </w:p>
    <w:p w:rsidR="00A31423" w:rsidRDefault="00A31423"/>
    <w:p w:rsidR="00DE4DBE" w:rsidRDefault="00DE4DBE">
      <w:r>
        <w:t xml:space="preserve">Le passage des Grives mauvis et musicienne est représenté sur le graphique suivant. </w:t>
      </w:r>
      <w:r w:rsidR="00A31423">
        <w:t>L’effectif noté correspond au nombre de cris de migration relevés au cours de la nuit s’achevant à la date indiquée</w:t>
      </w:r>
      <w:r w:rsidR="004E1B49">
        <w:t> :</w:t>
      </w:r>
      <w:r w:rsidR="00A31423">
        <w:t xml:space="preserve"> dit l’effectif « du 7 novembre » correspond à celui de la nuit du 6 au 7. </w:t>
      </w:r>
      <w:r>
        <w:t xml:space="preserve">La troisième courbe représente la vitesse moyenne du vent en km/h, multipliée par 10 pour être rendue visible sur l’échelle, relevée à 2h du matin à la station de </w:t>
      </w:r>
      <w:proofErr w:type="spellStart"/>
      <w:r>
        <w:t>Trelly</w:t>
      </w:r>
      <w:proofErr w:type="spellEnd"/>
      <w:r>
        <w:t>.</w:t>
      </w:r>
    </w:p>
    <w:p w:rsidR="001A3EC1" w:rsidRDefault="001A3EC1"/>
    <w:p w:rsidR="00224547" w:rsidRDefault="00DE4DBE" w:rsidP="00DE4DBE">
      <w:pPr>
        <w:jc w:val="center"/>
      </w:pPr>
      <w:r>
        <w:rPr>
          <w:noProof/>
          <w:lang w:eastAsia="fr-FR"/>
        </w:rPr>
        <w:drawing>
          <wp:inline distT="0" distB="0" distL="0" distR="0" wp14:anchorId="0E93CA78" wp14:editId="5E73DCEF">
            <wp:extent cx="5191125" cy="2752725"/>
            <wp:effectExtent l="0" t="0" r="9525" b="9525"/>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31423" w:rsidRDefault="00A31423" w:rsidP="00A31423">
      <w:r>
        <w:t>La comparaison entre les pics et les données météo confirme que les gros passages ont plutôt lieu par vent modéré de secteur sud, mais cette dernière météo a été si prédominante que la corrélation ne saute pas aux yeux. Les conditions ont été bonnes ou du moins acceptables pendant une grande partie de l’automne pour les migrateurs, de sorte que toutes les fenêtres de vent favorable n’ont pas été utilisées.</w:t>
      </w:r>
    </w:p>
    <w:p w:rsidR="00A31423" w:rsidRDefault="00A31423" w:rsidP="00DE4DBE"/>
    <w:p w:rsidR="00396583" w:rsidRDefault="00396583" w:rsidP="00DE4DBE">
      <w:r>
        <w:t>Les résultats observés ont ensuite été comparés aux totaux notés sur le site Trektellen.de (« Totaux espèces » pour « Tous les sites » à chacune des dates de suivi par ENC).</w:t>
      </w:r>
    </w:p>
    <w:p w:rsidR="00396583" w:rsidRDefault="00396583" w:rsidP="00DE4DBE"/>
    <w:p w:rsidR="00396583" w:rsidRDefault="00396583" w:rsidP="00DE4DBE">
      <w:pPr>
        <w:rPr>
          <w:b/>
        </w:rPr>
      </w:pPr>
      <w:r>
        <w:rPr>
          <w:b/>
        </w:rPr>
        <w:t>Grive musicienne</w:t>
      </w:r>
    </w:p>
    <w:p w:rsidR="00396583" w:rsidRDefault="00396583" w:rsidP="00DE4DBE">
      <w:pPr>
        <w:rPr>
          <w:b/>
        </w:rPr>
      </w:pPr>
    </w:p>
    <w:p w:rsidR="00A31423" w:rsidRDefault="004E1B49" w:rsidP="00DE4DBE">
      <w:r>
        <w:t>La</w:t>
      </w:r>
      <w:r w:rsidR="00396583">
        <w:t xml:space="preserve"> phénologie notée à Coutances en 2025 ne recoupe pas celle qui ressort des relevés </w:t>
      </w:r>
      <w:proofErr w:type="spellStart"/>
      <w:r w:rsidR="00396583">
        <w:t>Trektellen</w:t>
      </w:r>
      <w:proofErr w:type="spellEnd"/>
      <w:r w:rsidR="00396583">
        <w:t xml:space="preserve">. </w:t>
      </w:r>
      <w:r w:rsidR="00A31423">
        <w:t xml:space="preserve">Le graphique suivant présente les passages respectifs de Grive musicienne à Coutances et relevés sur </w:t>
      </w:r>
      <w:proofErr w:type="spellStart"/>
      <w:r w:rsidR="00A31423">
        <w:t>Trektellen</w:t>
      </w:r>
      <w:proofErr w:type="spellEnd"/>
      <w:r w:rsidR="00A31423">
        <w:t>. Afin d’obtenir des courbes comparables, la variable utilisée est l’effectif noté à la date indiquée divisé par le total des effectifs notés pour l’ensemble des dates où l’enregistreur a été placé.</w:t>
      </w:r>
    </w:p>
    <w:p w:rsidR="001A3EC1" w:rsidRDefault="001A3EC1" w:rsidP="00DE4DBE"/>
    <w:p w:rsidR="001A3EC1" w:rsidRPr="00A31423" w:rsidRDefault="001A3EC1" w:rsidP="001A3EC1">
      <w:pPr>
        <w:jc w:val="center"/>
      </w:pPr>
      <w:bookmarkStart w:id="0" w:name="_GoBack"/>
      <w:r>
        <w:rPr>
          <w:noProof/>
          <w:lang w:eastAsia="fr-FR"/>
        </w:rPr>
        <w:lastRenderedPageBreak/>
        <w:drawing>
          <wp:inline distT="0" distB="0" distL="0" distR="0" wp14:anchorId="401430A0" wp14:editId="2080E3DA">
            <wp:extent cx="5248275" cy="2495550"/>
            <wp:effectExtent l="0" t="0" r="9525" b="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bookmarkEnd w:id="0"/>
    </w:p>
    <w:p w:rsidR="00396583" w:rsidRDefault="00396583" w:rsidP="00DE4DBE"/>
    <w:p w:rsidR="001A3EC1" w:rsidRDefault="001A3EC1" w:rsidP="00DE4DBE">
      <w:r>
        <w:t xml:space="preserve">La migration de la Grive musicienne selon </w:t>
      </w:r>
      <w:proofErr w:type="spellStart"/>
      <w:r>
        <w:t>Trektellen</w:t>
      </w:r>
      <w:proofErr w:type="spellEnd"/>
      <w:r>
        <w:t xml:space="preserve"> présente un pic massif dans la deuxième décade d’octobre, qui voit passer près des deux tiers des oiseaux contactés : ce pic ne laisse aucune trace dans les relevés de Coutances. Réciproquement, le pic local du 5-7 novembre qui voit passer plus de la moitié des Musiciennes coutançaises correspond à peine à un frémissement dans les données </w:t>
      </w:r>
      <w:proofErr w:type="spellStart"/>
      <w:r>
        <w:t>Trektellen</w:t>
      </w:r>
      <w:proofErr w:type="spellEnd"/>
      <w:r>
        <w:t xml:space="preserve">, principalement composées d’oiseaux notés dans divers sites de la moitié nord de la France, et des Pays-Bas. En revanche, comme on le verra plus loin, ce pic de Musiciennes à Coutances se produit exactement à la date d’un pic de Grives mauvis noté à Coutances </w:t>
      </w:r>
      <w:r>
        <w:rPr>
          <w:i/>
        </w:rPr>
        <w:t>et</w:t>
      </w:r>
      <w:r>
        <w:t xml:space="preserve"> sur </w:t>
      </w:r>
      <w:proofErr w:type="spellStart"/>
      <w:r>
        <w:t>Trektellen</w:t>
      </w:r>
      <w:proofErr w:type="spellEnd"/>
      <w:r>
        <w:t>, comme si, localement, les Musiciennes avaient été « entraînées » par leurs collègues !</w:t>
      </w:r>
    </w:p>
    <w:p w:rsidR="001A3EC1" w:rsidRDefault="001A3EC1" w:rsidP="00DE4DBE"/>
    <w:p w:rsidR="001A3EC1" w:rsidRDefault="001A3EC1" w:rsidP="00DE4DBE">
      <w:pPr>
        <w:rPr>
          <w:b/>
        </w:rPr>
      </w:pPr>
      <w:r>
        <w:rPr>
          <w:b/>
        </w:rPr>
        <w:t>Grive mauvis</w:t>
      </w:r>
    </w:p>
    <w:p w:rsidR="00244848" w:rsidRDefault="00244848" w:rsidP="00DE4DBE">
      <w:pPr>
        <w:rPr>
          <w:b/>
        </w:rPr>
      </w:pPr>
    </w:p>
    <w:p w:rsidR="00244848" w:rsidRDefault="00244848" w:rsidP="00DE4DBE">
      <w:r>
        <w:t xml:space="preserve">Pour cette espèce, on observe, cette fois, des ressemblances un peu plus sensibles avec le schéma européen visible sur </w:t>
      </w:r>
      <w:proofErr w:type="spellStart"/>
      <w:r>
        <w:t>Trektellen</w:t>
      </w:r>
      <w:proofErr w:type="spellEnd"/>
      <w:r>
        <w:t>, avec des différences notables tout de même. Plus exactement, il y a un événement concomitant, mais non des moindres : c’est le principal pic de passage de l’espèce, qui cette fois-ci a été bien sensible à Coutances. Comme évoqué plus haut, ce pic du 5-7 novembre se redouble dans la Manche d’un rush de Grives musiciennes comme s’il y avait eu entraînement ou aspiration.</w:t>
      </w:r>
    </w:p>
    <w:p w:rsidR="00244848" w:rsidRDefault="00244848" w:rsidP="00DE4DBE"/>
    <w:p w:rsidR="00244848" w:rsidRDefault="00244848" w:rsidP="004E1B49">
      <w:pPr>
        <w:jc w:val="center"/>
      </w:pPr>
      <w:r>
        <w:rPr>
          <w:noProof/>
          <w:lang w:eastAsia="fr-FR"/>
        </w:rPr>
        <w:drawing>
          <wp:inline distT="0" distB="0" distL="0" distR="0" wp14:anchorId="3069AF49" wp14:editId="4A9F8C50">
            <wp:extent cx="5086350" cy="2247900"/>
            <wp:effectExtent l="0" t="0" r="0" b="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44848" w:rsidRPr="00244848" w:rsidRDefault="00244848" w:rsidP="00DE4DBE"/>
    <w:p w:rsidR="00EF0B45" w:rsidRDefault="00025D54" w:rsidP="00025D54">
      <w:r>
        <w:lastRenderedPageBreak/>
        <w:t>Pour ce pic, l</w:t>
      </w:r>
      <w:r w:rsidR="00EF0B45">
        <w:t xml:space="preserve">es effectifs relevés à Coutances </w:t>
      </w:r>
      <w:r w:rsidR="009C0AE8">
        <w:t xml:space="preserve">lors de ces pics suivent, avec 24h de décalage, le pic total noté sur </w:t>
      </w:r>
      <w:proofErr w:type="spellStart"/>
      <w:r w:rsidR="009C0AE8">
        <w:t>Trektellen</w:t>
      </w:r>
      <w:proofErr w:type="spellEnd"/>
      <w:r w:rsidR="009C0AE8">
        <w:t>. Sur cette période, ce sont les sites néerlandais qui ont noté les plus importants effectifs. On peut donc supposer que les migrateurs de Coutances font partie des oiseaux qui ont survolé les Pays-Bas au préalab</w:t>
      </w:r>
      <w:r w:rsidR="00BE11F6">
        <w:t xml:space="preserve">le. </w:t>
      </w:r>
      <w:r w:rsidR="00A81C1A">
        <w:t xml:space="preserve">La veille ou la nuit même ? </w:t>
      </w:r>
      <w:r w:rsidR="00BE11F6">
        <w:t xml:space="preserve">Lors de ces pics, le passage est particulièrement marqué entre 20h et minuit, puis de nouveau </w:t>
      </w:r>
      <w:r w:rsidR="00A81C1A">
        <w:t>en fin de nuit et au lever du jour</w:t>
      </w:r>
      <w:r w:rsidR="00BE11F6">
        <w:t xml:space="preserve"> (5h-8h)</w:t>
      </w:r>
      <w:r w:rsidR="00A81C1A">
        <w:t xml:space="preserve"> avec un creux sensible en milieu de nuit et une légère prédominance pour le passage matinal. Sur l’ensemble de l’automne, le nombre de cris de contact par tranche horaire se présente comme suit :</w:t>
      </w:r>
    </w:p>
    <w:p w:rsidR="004E1B49" w:rsidRDefault="004E1B49" w:rsidP="00025D54"/>
    <w:p w:rsidR="00A81C1A" w:rsidRDefault="00A81C1A" w:rsidP="00DE4DBE">
      <w:r>
        <w:rPr>
          <w:noProof/>
          <w:lang w:eastAsia="fr-FR"/>
        </w:rPr>
        <w:drawing>
          <wp:inline distT="0" distB="0" distL="0" distR="0" wp14:anchorId="523A82D8" wp14:editId="7DA8EA57">
            <wp:extent cx="5400675" cy="2257425"/>
            <wp:effectExtent l="0" t="0" r="9525" b="9525"/>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81C1A" w:rsidRDefault="00A81C1A" w:rsidP="00DE4DBE"/>
    <w:p w:rsidR="00A81C1A" w:rsidRDefault="00A81C1A" w:rsidP="00A81C1A">
      <w:r>
        <w:t xml:space="preserve">Le cas du pic de mi-novembre, d’ailleurs plus modeste, est différent : il est </w:t>
      </w:r>
      <w:r w:rsidR="00025D54">
        <w:t>à peine visible</w:t>
      </w:r>
      <w:r>
        <w:t xml:space="preserve"> sur les bilans journaliers </w:t>
      </w:r>
      <w:proofErr w:type="spellStart"/>
      <w:r>
        <w:t>Trektellen</w:t>
      </w:r>
      <w:proofErr w:type="spellEnd"/>
      <w:r>
        <w:t>. Toutefois, à ces dates, on constate nettement que les sites ayant compté le plus grand nombre de Mauvis sont situés en Belgique ou sur les côtes du nord de la France (Nord, Pas de Calais, Somme). Dans ce cas, il est extrêmement probable que les oiseaux entendus à Coutances soient passés là la nuit même. Sur ces deux nuits du 15 et du 16 novembre, les effectifs de début, milieu et fin de nuit sont semblables.</w:t>
      </w:r>
    </w:p>
    <w:p w:rsidR="00A81C1A" w:rsidRDefault="00A81C1A" w:rsidP="00A81C1A"/>
    <w:p w:rsidR="00A81C1A" w:rsidRDefault="00A81C1A" w:rsidP="00A81C1A">
      <w:r>
        <w:t xml:space="preserve">Quant au pic de Mauvis du 8-10 décembre, il est introuvable sur </w:t>
      </w:r>
      <w:proofErr w:type="spellStart"/>
      <w:r>
        <w:t>Trektellen</w:t>
      </w:r>
      <w:proofErr w:type="spellEnd"/>
      <w:r>
        <w:t>, où les plus gros effectifs sont contactés… sur des sites français généralement situés plus au sud. Il s’agit vraisemblablement d’un mouvement de faible ampleur géographique, voire purement local et difficile à expliquer, d’autant qu’on ne relève aucun événement météo à cette période où la température est uniformément douce.</w:t>
      </w:r>
    </w:p>
    <w:p w:rsidR="006D2292" w:rsidRDefault="006D2292" w:rsidP="00A81C1A"/>
    <w:p w:rsidR="00025D54" w:rsidRDefault="00025D54" w:rsidP="00A81C1A">
      <w:r>
        <w:t xml:space="preserve">Réciproquement, quasi rien (à peine des frémissements) n’a filtré à Coutances des pics précoces d’octobre (6-7, 14 et 19 octobre). Au vu des données </w:t>
      </w:r>
      <w:proofErr w:type="spellStart"/>
      <w:r>
        <w:t>Trektellen</w:t>
      </w:r>
      <w:proofErr w:type="spellEnd"/>
      <w:r>
        <w:t>, trois explications sont envisageables, même si l’on est ici dans l’hypothèse pure :</w:t>
      </w:r>
    </w:p>
    <w:p w:rsidR="00025D54" w:rsidRDefault="00025D54" w:rsidP="00025D54">
      <w:pPr>
        <w:pStyle w:val="Paragraphedeliste"/>
        <w:numPr>
          <w:ilvl w:val="0"/>
          <w:numId w:val="3"/>
        </w:numPr>
      </w:pPr>
      <w:r>
        <w:t>Le pic du 6-7 correspond principalement à de gros effectifs aux Pays-Bas, mais nettement à l’intérieur des terres, contrairement au pic de début novembre qui concerne des stations littorales. S’agit-il d’un flux plus intérieur qui a piqué plein sud sans suivre la côte ?</w:t>
      </w:r>
    </w:p>
    <w:p w:rsidR="00025D54" w:rsidRDefault="00025D54" w:rsidP="00025D54">
      <w:pPr>
        <w:pStyle w:val="Paragraphedeliste"/>
        <w:numPr>
          <w:ilvl w:val="0"/>
          <w:numId w:val="3"/>
        </w:numPr>
      </w:pPr>
      <w:r>
        <w:t>Le pic du 14 octobre correspond à de gros relevés dans le nord et le centre de l’Angleterre (</w:t>
      </w:r>
      <w:proofErr w:type="spellStart"/>
      <w:r>
        <w:t>Cumbrie</w:t>
      </w:r>
      <w:proofErr w:type="spellEnd"/>
      <w:r>
        <w:t xml:space="preserve">, Yorkshire, </w:t>
      </w:r>
      <w:r w:rsidR="00412174">
        <w:t>Midlands) ; ces oiseaux ont pu ensuite faire halte avant la Normandie ou bien traverser la mer plus à l’ouest</w:t>
      </w:r>
    </w:p>
    <w:p w:rsidR="00412174" w:rsidRDefault="00412174" w:rsidP="00025D54">
      <w:pPr>
        <w:pStyle w:val="Paragraphedeliste"/>
        <w:numPr>
          <w:ilvl w:val="0"/>
          <w:numId w:val="3"/>
        </w:numPr>
      </w:pPr>
      <w:r>
        <w:t>Quant au pic du 19, il a très bien pu être raté dans la mesure où la dernière décade d’octobre a été pluvieuse toutes les nuits, rendant les relevés impossibles.</w:t>
      </w:r>
    </w:p>
    <w:p w:rsidR="00412174" w:rsidRDefault="00412174" w:rsidP="00025D54">
      <w:pPr>
        <w:pStyle w:val="Paragraphedeliste"/>
        <w:numPr>
          <w:ilvl w:val="0"/>
          <w:numId w:val="3"/>
        </w:numPr>
      </w:pPr>
    </w:p>
    <w:p w:rsidR="00412174" w:rsidRDefault="00412174" w:rsidP="00412174">
      <w:r>
        <w:t>Mais on est là dans la conjecture, et rien ne garantit que tout afflux visible une nuit à l’échelon européen soit visible sur chaque station individuelle.</w:t>
      </w:r>
    </w:p>
    <w:p w:rsidR="006D2292" w:rsidRDefault="006D2292" w:rsidP="00A81C1A"/>
    <w:p w:rsidR="006D2292" w:rsidRPr="00EF0B45" w:rsidRDefault="0086673B" w:rsidP="00A81C1A">
      <w:r>
        <w:t>Comme il semblerait imprudent d’analyser davantage un jeu de données sur un automne unique, on retiendra surtout que l’utilisation de l’enregistreur nocturne permet de contribuer facilement au suivi des migrations, et révèle un flux migratoire jusqu’au cœur de nos villes. Comme la technique peut être mise en œuvre avec un simple dictaphone</w:t>
      </w:r>
      <w:r w:rsidR="004E1B49">
        <w:t xml:space="preserve"> numérique</w:t>
      </w:r>
      <w:r>
        <w:t xml:space="preserve">), elle est accessible à tout amateur capable de reconnaître ensuite les cris – fût-ce avec l’aide de la communauté « Vol de nuit » présente sur serveur Discord. Attention, en revanche, en particulier dans le cadre d’une utilisation professionnelle, à ne pas sous-estimer le temps de dépouillement : même avec un passage espacé comme ici, il faut compter </w:t>
      </w:r>
      <w:r w:rsidR="004E1B49">
        <w:t xml:space="preserve">une à </w:t>
      </w:r>
      <w:r>
        <w:t>deux heures pour analyser les fichiers d’une nuit.</w:t>
      </w:r>
    </w:p>
    <w:sectPr w:rsidR="006D2292" w:rsidRPr="00EF0B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A053C9"/>
    <w:multiLevelType w:val="hybridMultilevel"/>
    <w:tmpl w:val="C6B83738"/>
    <w:lvl w:ilvl="0" w:tplc="A970D56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E1D4D8D"/>
    <w:multiLevelType w:val="hybridMultilevel"/>
    <w:tmpl w:val="142885E0"/>
    <w:lvl w:ilvl="0" w:tplc="1BE6A5F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84406A"/>
    <w:multiLevelType w:val="hybridMultilevel"/>
    <w:tmpl w:val="0EA89510"/>
    <w:lvl w:ilvl="0" w:tplc="7B7A6D2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547"/>
    <w:rsid w:val="00025D54"/>
    <w:rsid w:val="000411C6"/>
    <w:rsid w:val="001A3EC1"/>
    <w:rsid w:val="001F357B"/>
    <w:rsid w:val="00224547"/>
    <w:rsid w:val="00244848"/>
    <w:rsid w:val="002E6440"/>
    <w:rsid w:val="00396583"/>
    <w:rsid w:val="003D3FE2"/>
    <w:rsid w:val="00412174"/>
    <w:rsid w:val="004A2CEA"/>
    <w:rsid w:val="004E1B49"/>
    <w:rsid w:val="0052566A"/>
    <w:rsid w:val="006D2292"/>
    <w:rsid w:val="0076564E"/>
    <w:rsid w:val="007D30B6"/>
    <w:rsid w:val="0086673B"/>
    <w:rsid w:val="009605A6"/>
    <w:rsid w:val="009C0AE8"/>
    <w:rsid w:val="00A31423"/>
    <w:rsid w:val="00A81C1A"/>
    <w:rsid w:val="00BA4232"/>
    <w:rsid w:val="00BE11F6"/>
    <w:rsid w:val="00CF013E"/>
    <w:rsid w:val="00D319FC"/>
    <w:rsid w:val="00D95301"/>
    <w:rsid w:val="00DE4DBE"/>
    <w:rsid w:val="00EE1058"/>
    <w:rsid w:val="00EF0B4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C7BD5-E8FB-4872-B2D2-93A10FEF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CEA"/>
    <w:pPr>
      <w:spacing w:after="0" w:line="240" w:lineRule="auto"/>
      <w:jc w:val="both"/>
    </w:pPr>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D95301"/>
    <w:pPr>
      <w:spacing w:before="120" w:after="240"/>
      <w:contextualSpacing/>
      <w:outlineLvl w:val="0"/>
    </w:pPr>
    <w:rPr>
      <w:rFonts w:asciiTheme="majorHAnsi" w:eastAsiaTheme="majorEastAsia" w:hAnsiTheme="majorHAnsi" w:cstheme="majorBidi"/>
      <w:b/>
      <w:spacing w:val="-10"/>
      <w:kern w:val="28"/>
      <w:sz w:val="52"/>
      <w:szCs w:val="56"/>
    </w:rPr>
  </w:style>
  <w:style w:type="character" w:customStyle="1" w:styleId="TitreCar">
    <w:name w:val="Titre Car"/>
    <w:basedOn w:val="Policepardfaut"/>
    <w:link w:val="Titre"/>
    <w:uiPriority w:val="10"/>
    <w:rsid w:val="00D95301"/>
    <w:rPr>
      <w:rFonts w:asciiTheme="majorHAnsi" w:eastAsiaTheme="majorEastAsia" w:hAnsiTheme="majorHAnsi" w:cstheme="majorBidi"/>
      <w:b/>
      <w:spacing w:val="-10"/>
      <w:kern w:val="28"/>
      <w:sz w:val="52"/>
      <w:szCs w:val="56"/>
    </w:rPr>
  </w:style>
  <w:style w:type="paragraph" w:styleId="Paragraphedeliste">
    <w:name w:val="List Paragraph"/>
    <w:basedOn w:val="Normal"/>
    <w:uiPriority w:val="34"/>
    <w:qFormat/>
    <w:rsid w:val="00224547"/>
    <w:pPr>
      <w:ind w:left="720"/>
      <w:contextualSpacing/>
    </w:pPr>
  </w:style>
  <w:style w:type="paragraph" w:styleId="Textedebulles">
    <w:name w:val="Balloon Text"/>
    <w:basedOn w:val="Normal"/>
    <w:link w:val="TextedebullesCar"/>
    <w:uiPriority w:val="99"/>
    <w:semiHidden/>
    <w:unhideWhenUsed/>
    <w:rsid w:val="004E1B49"/>
    <w:rPr>
      <w:rFonts w:ascii="Segoe UI" w:hAnsi="Segoe UI" w:cs="Segoe UI"/>
      <w:sz w:val="18"/>
      <w:szCs w:val="18"/>
    </w:rPr>
  </w:style>
  <w:style w:type="character" w:customStyle="1" w:styleId="TextedebullesCar">
    <w:name w:val="Texte de bulles Car"/>
    <w:basedOn w:val="Policepardfaut"/>
    <w:link w:val="Textedebulles"/>
    <w:uiPriority w:val="99"/>
    <w:semiHidden/>
    <w:rsid w:val="004E1B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248481">
      <w:bodyDiv w:val="1"/>
      <w:marLeft w:val="0"/>
      <w:marRight w:val="0"/>
      <w:marTop w:val="0"/>
      <w:marBottom w:val="0"/>
      <w:divBdr>
        <w:top w:val="none" w:sz="0" w:space="0" w:color="auto"/>
        <w:left w:val="none" w:sz="0" w:space="0" w:color="auto"/>
        <w:bottom w:val="none" w:sz="0" w:space="0" w:color="auto"/>
        <w:right w:val="none" w:sz="0" w:space="0" w:color="auto"/>
      </w:divBdr>
    </w:div>
    <w:div w:id="1070420156">
      <w:bodyDiv w:val="1"/>
      <w:marLeft w:val="0"/>
      <w:marRight w:val="0"/>
      <w:marTop w:val="0"/>
      <w:marBottom w:val="0"/>
      <w:divBdr>
        <w:top w:val="none" w:sz="0" w:space="0" w:color="auto"/>
        <w:left w:val="none" w:sz="0" w:space="0" w:color="auto"/>
        <w:bottom w:val="none" w:sz="0" w:space="0" w:color="auto"/>
        <w:right w:val="none" w:sz="0" w:space="0" w:color="auto"/>
      </w:divBdr>
    </w:div>
    <w:div w:id="1117867350">
      <w:bodyDiv w:val="1"/>
      <w:marLeft w:val="0"/>
      <w:marRight w:val="0"/>
      <w:marTop w:val="0"/>
      <w:marBottom w:val="0"/>
      <w:divBdr>
        <w:top w:val="none" w:sz="0" w:space="0" w:color="auto"/>
        <w:left w:val="none" w:sz="0" w:space="0" w:color="auto"/>
        <w:bottom w:val="none" w:sz="0" w:space="0" w:color="auto"/>
        <w:right w:val="none" w:sz="0" w:space="0" w:color="auto"/>
      </w:divBdr>
    </w:div>
    <w:div w:id="182728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D:\Documents\Ornitho\Manche\GON\ENC_Coutances_Automne202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Documents\Ornitho\Manche\GON\ENC_Coutances_Automne202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Documents\Ornitho\Manche\GON\ENC_Coutances_Automne202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Documents\Ornitho\Manche\GON\ENC_Coutances_Automne202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yril\Downloads\Trektellen_data_sum_4363_2025.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radarChart>
        <c:radarStyle val="filled"/>
        <c:varyColors val="0"/>
        <c:ser>
          <c:idx val="0"/>
          <c:order val="0"/>
          <c:tx>
            <c:strRef>
              <c:f>Feuil2!$T$3</c:f>
              <c:strCache>
                <c:ptCount val="1"/>
                <c:pt idx="0">
                  <c:v>V3freq</c:v>
                </c:pt>
              </c:strCache>
            </c:strRef>
          </c:tx>
          <c:spPr>
            <a:solidFill>
              <a:schemeClr val="accent1"/>
            </a:solidFill>
            <a:ln>
              <a:noFill/>
            </a:ln>
            <a:effectLst/>
          </c:spPr>
          <c:cat>
            <c:strRef>
              <c:f>Feuil2!$L$4:$L$11</c:f>
              <c:strCache>
                <c:ptCount val="8"/>
                <c:pt idx="0">
                  <c:v>N</c:v>
                </c:pt>
                <c:pt idx="1">
                  <c:v>NE</c:v>
                </c:pt>
                <c:pt idx="2">
                  <c:v>E</c:v>
                </c:pt>
                <c:pt idx="3">
                  <c:v>SE</c:v>
                </c:pt>
                <c:pt idx="4">
                  <c:v>S</c:v>
                </c:pt>
                <c:pt idx="5">
                  <c:v>SO</c:v>
                </c:pt>
                <c:pt idx="6">
                  <c:v>O</c:v>
                </c:pt>
                <c:pt idx="7">
                  <c:v>NO</c:v>
                </c:pt>
              </c:strCache>
            </c:strRef>
          </c:cat>
          <c:val>
            <c:numRef>
              <c:f>Feuil2!$T$4:$T$11</c:f>
              <c:numCache>
                <c:formatCode>General</c:formatCode>
                <c:ptCount val="8"/>
                <c:pt idx="0">
                  <c:v>3.8461538461538464E-2</c:v>
                </c:pt>
                <c:pt idx="1">
                  <c:v>3.8461538461538464E-2</c:v>
                </c:pt>
                <c:pt idx="2">
                  <c:v>0.13461538461538464</c:v>
                </c:pt>
                <c:pt idx="3">
                  <c:v>1.9230769230769232E-2</c:v>
                </c:pt>
                <c:pt idx="4">
                  <c:v>0.40384615384615385</c:v>
                </c:pt>
                <c:pt idx="5">
                  <c:v>0.11538461538461539</c:v>
                </c:pt>
                <c:pt idx="6">
                  <c:v>7.6923076923076927E-2</c:v>
                </c:pt>
                <c:pt idx="7">
                  <c:v>1.9230769230769232E-2</c:v>
                </c:pt>
              </c:numCache>
            </c:numRef>
          </c:val>
        </c:ser>
        <c:ser>
          <c:idx val="1"/>
          <c:order val="1"/>
          <c:tx>
            <c:strRef>
              <c:f>Feuil2!$U$3</c:f>
              <c:strCache>
                <c:ptCount val="1"/>
                <c:pt idx="0">
                  <c:v>V2freq</c:v>
                </c:pt>
              </c:strCache>
            </c:strRef>
          </c:tx>
          <c:spPr>
            <a:solidFill>
              <a:schemeClr val="accent2"/>
            </a:solidFill>
            <a:ln>
              <a:noFill/>
            </a:ln>
            <a:effectLst/>
          </c:spPr>
          <c:cat>
            <c:strRef>
              <c:f>Feuil2!$L$4:$L$11</c:f>
              <c:strCache>
                <c:ptCount val="8"/>
                <c:pt idx="0">
                  <c:v>N</c:v>
                </c:pt>
                <c:pt idx="1">
                  <c:v>NE</c:v>
                </c:pt>
                <c:pt idx="2">
                  <c:v>E</c:v>
                </c:pt>
                <c:pt idx="3">
                  <c:v>SE</c:v>
                </c:pt>
                <c:pt idx="4">
                  <c:v>S</c:v>
                </c:pt>
                <c:pt idx="5">
                  <c:v>SO</c:v>
                </c:pt>
                <c:pt idx="6">
                  <c:v>O</c:v>
                </c:pt>
                <c:pt idx="7">
                  <c:v>NO</c:v>
                </c:pt>
              </c:strCache>
            </c:strRef>
          </c:cat>
          <c:val>
            <c:numRef>
              <c:f>Feuil2!$U$4:$U$11</c:f>
              <c:numCache>
                <c:formatCode>General</c:formatCode>
                <c:ptCount val="8"/>
                <c:pt idx="0">
                  <c:v>3.8461538461538464E-2</c:v>
                </c:pt>
                <c:pt idx="1">
                  <c:v>3.8461538461538464E-2</c:v>
                </c:pt>
                <c:pt idx="2">
                  <c:v>0.13461538461538464</c:v>
                </c:pt>
                <c:pt idx="3">
                  <c:v>0</c:v>
                </c:pt>
                <c:pt idx="4">
                  <c:v>0.26923076923076922</c:v>
                </c:pt>
                <c:pt idx="5">
                  <c:v>7.6923076923076927E-2</c:v>
                </c:pt>
                <c:pt idx="6">
                  <c:v>5.7692307692307696E-2</c:v>
                </c:pt>
                <c:pt idx="7">
                  <c:v>1.9230769230769232E-2</c:v>
                </c:pt>
              </c:numCache>
            </c:numRef>
          </c:val>
        </c:ser>
        <c:ser>
          <c:idx val="2"/>
          <c:order val="2"/>
          <c:tx>
            <c:strRef>
              <c:f>Feuil2!$V$3</c:f>
              <c:strCache>
                <c:ptCount val="1"/>
                <c:pt idx="0">
                  <c:v>V1freq</c:v>
                </c:pt>
              </c:strCache>
            </c:strRef>
          </c:tx>
          <c:spPr>
            <a:solidFill>
              <a:schemeClr val="accent3"/>
            </a:solidFill>
            <a:ln>
              <a:noFill/>
            </a:ln>
            <a:effectLst/>
          </c:spPr>
          <c:cat>
            <c:strRef>
              <c:f>Feuil2!$L$4:$L$11</c:f>
              <c:strCache>
                <c:ptCount val="8"/>
                <c:pt idx="0">
                  <c:v>N</c:v>
                </c:pt>
                <c:pt idx="1">
                  <c:v>NE</c:v>
                </c:pt>
                <c:pt idx="2">
                  <c:v>E</c:v>
                </c:pt>
                <c:pt idx="3">
                  <c:v>SE</c:v>
                </c:pt>
                <c:pt idx="4">
                  <c:v>S</c:v>
                </c:pt>
                <c:pt idx="5">
                  <c:v>SO</c:v>
                </c:pt>
                <c:pt idx="6">
                  <c:v>O</c:v>
                </c:pt>
                <c:pt idx="7">
                  <c:v>NO</c:v>
                </c:pt>
              </c:strCache>
            </c:strRef>
          </c:cat>
          <c:val>
            <c:numRef>
              <c:f>Feuil2!$V$4:$V$11</c:f>
              <c:numCache>
                <c:formatCode>General</c:formatCode>
                <c:ptCount val="8"/>
                <c:pt idx="0">
                  <c:v>1.9230769230769232E-2</c:v>
                </c:pt>
                <c:pt idx="1">
                  <c:v>1.9230769230769232E-2</c:v>
                </c:pt>
                <c:pt idx="2">
                  <c:v>5.7692307692307696E-2</c:v>
                </c:pt>
                <c:pt idx="3">
                  <c:v>0</c:v>
                </c:pt>
                <c:pt idx="4">
                  <c:v>5.7692307692307696E-2</c:v>
                </c:pt>
                <c:pt idx="5">
                  <c:v>0</c:v>
                </c:pt>
                <c:pt idx="6">
                  <c:v>1.9230769230769232E-2</c:v>
                </c:pt>
                <c:pt idx="7">
                  <c:v>1.9230769230769232E-2</c:v>
                </c:pt>
              </c:numCache>
            </c:numRef>
          </c:val>
        </c:ser>
        <c:dLbls>
          <c:showLegendKey val="0"/>
          <c:showVal val="0"/>
          <c:showCatName val="0"/>
          <c:showSerName val="0"/>
          <c:showPercent val="0"/>
          <c:showBubbleSize val="0"/>
        </c:dLbls>
        <c:axId val="-72989360"/>
        <c:axId val="-72987184"/>
      </c:radarChart>
      <c:catAx>
        <c:axId val="-729893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987184"/>
        <c:crosses val="autoZero"/>
        <c:auto val="1"/>
        <c:lblAlgn val="ctr"/>
        <c:lblOffset val="100"/>
        <c:noMultiLvlLbl val="0"/>
      </c:catAx>
      <c:valAx>
        <c:axId val="-72987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989360"/>
        <c:crosses val="autoZero"/>
        <c:crossBetween val="between"/>
      </c:valAx>
      <c:spPr>
        <a:noFill/>
        <a:ln>
          <a:noFill/>
        </a:ln>
        <a:effectLst/>
      </c:spPr>
    </c:plotArea>
    <c:legend>
      <c:legendPos val="t"/>
      <c:layout>
        <c:manualLayout>
          <c:xMode val="edge"/>
          <c:yMode val="edge"/>
          <c:x val="4.2820756354871981E-2"/>
          <c:y val="9.2059827773217737E-2"/>
          <c:w val="0.11193738914931353"/>
          <c:h val="0.3187575161050332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9284281029019007E-2"/>
          <c:y val="5.0513004056311143E-2"/>
          <c:w val="0.93314789957055022"/>
          <c:h val="0.73416027542011808"/>
        </c:manualLayout>
      </c:layout>
      <c:areaChart>
        <c:grouping val="stacked"/>
        <c:varyColors val="0"/>
        <c:ser>
          <c:idx val="0"/>
          <c:order val="0"/>
          <c:tx>
            <c:strRef>
              <c:f>Feuil2!$B$1</c:f>
              <c:strCache>
                <c:ptCount val="1"/>
                <c:pt idx="0">
                  <c:v>Grive mauvis</c:v>
                </c:pt>
              </c:strCache>
            </c:strRef>
          </c:tx>
          <c:spPr>
            <a:solidFill>
              <a:schemeClr val="accent1"/>
            </a:solidFill>
            <a:ln>
              <a:noFill/>
            </a:ln>
            <a:effectLst/>
          </c:spPr>
          <c:cat>
            <c:numRef>
              <c:f>Feuil2!$A$2:$A$53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Feuil2!$B$2:$B$53</c:f>
              <c:numCache>
                <c:formatCode>General</c:formatCode>
                <c:ptCount val="52"/>
                <c:pt idx="4">
                  <c:v>1</c:v>
                </c:pt>
                <c:pt idx="5">
                  <c:v>1</c:v>
                </c:pt>
                <c:pt idx="6">
                  <c:v>2</c:v>
                </c:pt>
                <c:pt idx="7">
                  <c:v>1</c:v>
                </c:pt>
                <c:pt idx="8">
                  <c:v>10</c:v>
                </c:pt>
                <c:pt idx="9">
                  <c:v>8</c:v>
                </c:pt>
                <c:pt idx="10">
                  <c:v>3</c:v>
                </c:pt>
                <c:pt idx="11">
                  <c:v>5</c:v>
                </c:pt>
                <c:pt idx="12">
                  <c:v>2</c:v>
                </c:pt>
                <c:pt idx="13">
                  <c:v>15</c:v>
                </c:pt>
                <c:pt idx="14">
                  <c:v>1</c:v>
                </c:pt>
                <c:pt idx="15">
                  <c:v>6</c:v>
                </c:pt>
                <c:pt idx="16">
                  <c:v>6</c:v>
                </c:pt>
                <c:pt idx="17">
                  <c:v>1</c:v>
                </c:pt>
                <c:pt idx="18">
                  <c:v>8</c:v>
                </c:pt>
                <c:pt idx="19">
                  <c:v>14</c:v>
                </c:pt>
                <c:pt idx="20">
                  <c:v>38</c:v>
                </c:pt>
                <c:pt idx="21">
                  <c:v>124</c:v>
                </c:pt>
                <c:pt idx="22">
                  <c:v>147</c:v>
                </c:pt>
                <c:pt idx="23">
                  <c:v>147</c:v>
                </c:pt>
                <c:pt idx="24">
                  <c:v>60</c:v>
                </c:pt>
                <c:pt idx="25">
                  <c:v>25</c:v>
                </c:pt>
                <c:pt idx="26">
                  <c:v>20</c:v>
                </c:pt>
                <c:pt idx="27">
                  <c:v>52</c:v>
                </c:pt>
                <c:pt idx="28">
                  <c:v>38</c:v>
                </c:pt>
                <c:pt idx="29">
                  <c:v>19</c:v>
                </c:pt>
                <c:pt idx="30">
                  <c:v>129</c:v>
                </c:pt>
                <c:pt idx="31">
                  <c:v>160</c:v>
                </c:pt>
                <c:pt idx="32">
                  <c:v>14</c:v>
                </c:pt>
                <c:pt idx="33">
                  <c:v>85</c:v>
                </c:pt>
                <c:pt idx="34">
                  <c:v>6</c:v>
                </c:pt>
                <c:pt idx="35">
                  <c:v>11</c:v>
                </c:pt>
                <c:pt idx="36">
                  <c:v>36</c:v>
                </c:pt>
                <c:pt idx="37">
                  <c:v>9</c:v>
                </c:pt>
                <c:pt idx="38">
                  <c:v>38</c:v>
                </c:pt>
                <c:pt idx="39">
                  <c:v>49</c:v>
                </c:pt>
                <c:pt idx="40">
                  <c:v>4</c:v>
                </c:pt>
                <c:pt idx="41">
                  <c:v>60</c:v>
                </c:pt>
                <c:pt idx="42">
                  <c:v>96</c:v>
                </c:pt>
                <c:pt idx="43">
                  <c:v>161</c:v>
                </c:pt>
                <c:pt idx="44">
                  <c:v>19</c:v>
                </c:pt>
                <c:pt idx="45">
                  <c:v>44</c:v>
                </c:pt>
                <c:pt idx="46">
                  <c:v>75</c:v>
                </c:pt>
                <c:pt idx="47">
                  <c:v>35</c:v>
                </c:pt>
                <c:pt idx="48">
                  <c:v>6</c:v>
                </c:pt>
                <c:pt idx="49">
                  <c:v>24</c:v>
                </c:pt>
                <c:pt idx="51">
                  <c:v>3</c:v>
                </c:pt>
              </c:numCache>
            </c:numRef>
          </c:val>
        </c:ser>
        <c:ser>
          <c:idx val="1"/>
          <c:order val="1"/>
          <c:tx>
            <c:strRef>
              <c:f>Feuil2!$C$1</c:f>
              <c:strCache>
                <c:ptCount val="1"/>
                <c:pt idx="0">
                  <c:v>Grive musicienne</c:v>
                </c:pt>
              </c:strCache>
            </c:strRef>
          </c:tx>
          <c:spPr>
            <a:solidFill>
              <a:schemeClr val="accent2"/>
            </a:solidFill>
            <a:ln>
              <a:noFill/>
            </a:ln>
            <a:effectLst/>
          </c:spPr>
          <c:cat>
            <c:numRef>
              <c:f>Feuil2!$A$2:$A$53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Feuil2!$C$2:$C$53</c:f>
              <c:numCache>
                <c:formatCode>General</c:formatCode>
                <c:ptCount val="52"/>
                <c:pt idx="0">
                  <c:v>1</c:v>
                </c:pt>
                <c:pt idx="1">
                  <c:v>3</c:v>
                </c:pt>
                <c:pt idx="2">
                  <c:v>1</c:v>
                </c:pt>
                <c:pt idx="3">
                  <c:v>7</c:v>
                </c:pt>
                <c:pt idx="4">
                  <c:v>10</c:v>
                </c:pt>
                <c:pt idx="5">
                  <c:v>8</c:v>
                </c:pt>
                <c:pt idx="6">
                  <c:v>8</c:v>
                </c:pt>
                <c:pt idx="8">
                  <c:v>9</c:v>
                </c:pt>
                <c:pt idx="9">
                  <c:v>4</c:v>
                </c:pt>
                <c:pt idx="10">
                  <c:v>5</c:v>
                </c:pt>
                <c:pt idx="11">
                  <c:v>3</c:v>
                </c:pt>
                <c:pt idx="12">
                  <c:v>1</c:v>
                </c:pt>
                <c:pt idx="13">
                  <c:v>9</c:v>
                </c:pt>
                <c:pt idx="14">
                  <c:v>2</c:v>
                </c:pt>
                <c:pt idx="15">
                  <c:v>1</c:v>
                </c:pt>
                <c:pt idx="16">
                  <c:v>6</c:v>
                </c:pt>
                <c:pt idx="18">
                  <c:v>8</c:v>
                </c:pt>
                <c:pt idx="19">
                  <c:v>6</c:v>
                </c:pt>
                <c:pt idx="20">
                  <c:v>19</c:v>
                </c:pt>
                <c:pt idx="21">
                  <c:v>85</c:v>
                </c:pt>
                <c:pt idx="22">
                  <c:v>94</c:v>
                </c:pt>
                <c:pt idx="23">
                  <c:v>113</c:v>
                </c:pt>
                <c:pt idx="24">
                  <c:v>20</c:v>
                </c:pt>
                <c:pt idx="25">
                  <c:v>7</c:v>
                </c:pt>
                <c:pt idx="26">
                  <c:v>3</c:v>
                </c:pt>
                <c:pt idx="27">
                  <c:v>10</c:v>
                </c:pt>
                <c:pt idx="28">
                  <c:v>9</c:v>
                </c:pt>
                <c:pt idx="29">
                  <c:v>1</c:v>
                </c:pt>
                <c:pt idx="30">
                  <c:v>37</c:v>
                </c:pt>
                <c:pt idx="31">
                  <c:v>28</c:v>
                </c:pt>
                <c:pt idx="32">
                  <c:v>1</c:v>
                </c:pt>
                <c:pt idx="33">
                  <c:v>7</c:v>
                </c:pt>
                <c:pt idx="34">
                  <c:v>1</c:v>
                </c:pt>
                <c:pt idx="35">
                  <c:v>3</c:v>
                </c:pt>
                <c:pt idx="36">
                  <c:v>4</c:v>
                </c:pt>
                <c:pt idx="38">
                  <c:v>3</c:v>
                </c:pt>
                <c:pt idx="39">
                  <c:v>1</c:v>
                </c:pt>
                <c:pt idx="41">
                  <c:v>2</c:v>
                </c:pt>
                <c:pt idx="42">
                  <c:v>2</c:v>
                </c:pt>
                <c:pt idx="43">
                  <c:v>3</c:v>
                </c:pt>
                <c:pt idx="45">
                  <c:v>2</c:v>
                </c:pt>
                <c:pt idx="46">
                  <c:v>2</c:v>
                </c:pt>
                <c:pt idx="47">
                  <c:v>1</c:v>
                </c:pt>
                <c:pt idx="51">
                  <c:v>1</c:v>
                </c:pt>
              </c:numCache>
            </c:numRef>
          </c:val>
        </c:ser>
        <c:dLbls>
          <c:showLegendKey val="0"/>
          <c:showVal val="0"/>
          <c:showCatName val="0"/>
          <c:showSerName val="0"/>
          <c:showPercent val="0"/>
          <c:showBubbleSize val="0"/>
        </c:dLbls>
        <c:axId val="-72986096"/>
        <c:axId val="-72988816"/>
      </c:areaChart>
      <c:lineChart>
        <c:grouping val="standard"/>
        <c:varyColors val="0"/>
        <c:ser>
          <c:idx val="2"/>
          <c:order val="2"/>
          <c:tx>
            <c:strRef>
              <c:f>Feuil2!$D$1</c:f>
              <c:strCache>
                <c:ptCount val="1"/>
                <c:pt idx="0">
                  <c:v>Forcex10</c:v>
                </c:pt>
              </c:strCache>
            </c:strRef>
          </c:tx>
          <c:spPr>
            <a:ln w="28575" cap="rnd">
              <a:solidFill>
                <a:srgbClr val="C00000"/>
              </a:solidFill>
              <a:round/>
            </a:ln>
            <a:effectLst/>
          </c:spPr>
          <c:marker>
            <c:symbol val="none"/>
          </c:marker>
          <c:cat>
            <c:numRef>
              <c:f>Feuil2!$A$2:$A$53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Feuil2!$D$2:$D$53</c:f>
              <c:numCache>
                <c:formatCode>General</c:formatCode>
                <c:ptCount val="52"/>
                <c:pt idx="0">
                  <c:v>0</c:v>
                </c:pt>
                <c:pt idx="1">
                  <c:v>0</c:v>
                </c:pt>
                <c:pt idx="2">
                  <c:v>0</c:v>
                </c:pt>
                <c:pt idx="3">
                  <c:v>0</c:v>
                </c:pt>
                <c:pt idx="4">
                  <c:v>0</c:v>
                </c:pt>
                <c:pt idx="5">
                  <c:v>0</c:v>
                </c:pt>
                <c:pt idx="6">
                  <c:v>0</c:v>
                </c:pt>
                <c:pt idx="7">
                  <c:v>50</c:v>
                </c:pt>
                <c:pt idx="8">
                  <c:v>50</c:v>
                </c:pt>
                <c:pt idx="9">
                  <c:v>60</c:v>
                </c:pt>
                <c:pt idx="10">
                  <c:v>60</c:v>
                </c:pt>
                <c:pt idx="11">
                  <c:v>0</c:v>
                </c:pt>
                <c:pt idx="12">
                  <c:v>30</c:v>
                </c:pt>
                <c:pt idx="13">
                  <c:v>80</c:v>
                </c:pt>
                <c:pt idx="14">
                  <c:v>50</c:v>
                </c:pt>
                <c:pt idx="15">
                  <c:v>30</c:v>
                </c:pt>
                <c:pt idx="16">
                  <c:v>20</c:v>
                </c:pt>
                <c:pt idx="17">
                  <c:v>110</c:v>
                </c:pt>
                <c:pt idx="18">
                  <c:v>60</c:v>
                </c:pt>
                <c:pt idx="19">
                  <c:v>60</c:v>
                </c:pt>
                <c:pt idx="20">
                  <c:v>60</c:v>
                </c:pt>
                <c:pt idx="21">
                  <c:v>100</c:v>
                </c:pt>
                <c:pt idx="22">
                  <c:v>60</c:v>
                </c:pt>
                <c:pt idx="23">
                  <c:v>30</c:v>
                </c:pt>
                <c:pt idx="24">
                  <c:v>50</c:v>
                </c:pt>
                <c:pt idx="25">
                  <c:v>100</c:v>
                </c:pt>
                <c:pt idx="26">
                  <c:v>60</c:v>
                </c:pt>
                <c:pt idx="27">
                  <c:v>60</c:v>
                </c:pt>
                <c:pt idx="28">
                  <c:v>100</c:v>
                </c:pt>
                <c:pt idx="29">
                  <c:v>100</c:v>
                </c:pt>
                <c:pt idx="30">
                  <c:v>30</c:v>
                </c:pt>
                <c:pt idx="31">
                  <c:v>30</c:v>
                </c:pt>
                <c:pt idx="32">
                  <c:v>80</c:v>
                </c:pt>
                <c:pt idx="33">
                  <c:v>20</c:v>
                </c:pt>
                <c:pt idx="34">
                  <c:v>50</c:v>
                </c:pt>
                <c:pt idx="35">
                  <c:v>50</c:v>
                </c:pt>
                <c:pt idx="36">
                  <c:v>30</c:v>
                </c:pt>
                <c:pt idx="37">
                  <c:v>100</c:v>
                </c:pt>
                <c:pt idx="38">
                  <c:v>80</c:v>
                </c:pt>
                <c:pt idx="39">
                  <c:v>60</c:v>
                </c:pt>
                <c:pt idx="40">
                  <c:v>80</c:v>
                </c:pt>
                <c:pt idx="41">
                  <c:v>100</c:v>
                </c:pt>
                <c:pt idx="42">
                  <c:v>110</c:v>
                </c:pt>
                <c:pt idx="43">
                  <c:v>60</c:v>
                </c:pt>
                <c:pt idx="44">
                  <c:v>50</c:v>
                </c:pt>
                <c:pt idx="45">
                  <c:v>100</c:v>
                </c:pt>
                <c:pt idx="46">
                  <c:v>30</c:v>
                </c:pt>
                <c:pt idx="47">
                  <c:v>10</c:v>
                </c:pt>
                <c:pt idx="48">
                  <c:v>110</c:v>
                </c:pt>
                <c:pt idx="49">
                  <c:v>80</c:v>
                </c:pt>
                <c:pt idx="50">
                  <c:v>100</c:v>
                </c:pt>
                <c:pt idx="51">
                  <c:v>80</c:v>
                </c:pt>
              </c:numCache>
            </c:numRef>
          </c:val>
          <c:smooth val="0"/>
        </c:ser>
        <c:dLbls>
          <c:showLegendKey val="0"/>
          <c:showVal val="0"/>
          <c:showCatName val="0"/>
          <c:showSerName val="0"/>
          <c:showPercent val="0"/>
          <c:showBubbleSize val="0"/>
        </c:dLbls>
        <c:marker val="1"/>
        <c:smooth val="0"/>
        <c:axId val="-72986640"/>
        <c:axId val="-72987728"/>
      </c:lineChart>
      <c:dateAx>
        <c:axId val="-7298609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988816"/>
        <c:crosses val="autoZero"/>
        <c:auto val="1"/>
        <c:lblOffset val="100"/>
        <c:baseTimeUnit val="days"/>
      </c:dateAx>
      <c:valAx>
        <c:axId val="-72988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986096"/>
        <c:crosses val="autoZero"/>
        <c:crossBetween val="between"/>
      </c:valAx>
      <c:valAx>
        <c:axId val="-7298772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986640"/>
        <c:crosses val="max"/>
        <c:crossBetween val="between"/>
      </c:valAx>
      <c:dateAx>
        <c:axId val="-72986640"/>
        <c:scaling>
          <c:orientation val="minMax"/>
        </c:scaling>
        <c:delete val="1"/>
        <c:axPos val="b"/>
        <c:numFmt formatCode="m/d/yyyy" sourceLinked="1"/>
        <c:majorTickMark val="out"/>
        <c:minorTickMark val="none"/>
        <c:tickLblPos val="nextTo"/>
        <c:crossAx val="-72987728"/>
        <c:crosses val="autoZero"/>
        <c:auto val="1"/>
        <c:lblOffset val="100"/>
        <c:baseTimeUnit val="days"/>
      </c:dateAx>
      <c:spPr>
        <a:noFill/>
        <a:ln>
          <a:noFill/>
        </a:ln>
        <a:effectLst/>
      </c:spPr>
    </c:plotArea>
    <c:legend>
      <c:legendPos val="b"/>
      <c:layout>
        <c:manualLayout>
          <c:xMode val="edge"/>
          <c:yMode val="edge"/>
          <c:x val="0.25415592102309142"/>
          <c:y val="0.95391394257535989"/>
          <c:w val="0.53730764991856583"/>
          <c:h val="4.464316960379952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Passage</a:t>
            </a:r>
            <a:r>
              <a:rPr lang="fr-FR" baseline="0"/>
              <a:t> de la Grive musicienne</a:t>
            </a:r>
            <a:endParaRPr lang="fr-F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tx>
            <c:strRef>
              <c:f>Feuil4!$H$1</c:f>
              <c:strCache>
                <c:ptCount val="1"/>
                <c:pt idx="0">
                  <c:v>Grive musicienne</c:v>
                </c:pt>
              </c:strCache>
            </c:strRef>
          </c:tx>
          <c:spPr>
            <a:ln w="28575" cap="rnd">
              <a:solidFill>
                <a:schemeClr val="accent1"/>
              </a:solidFill>
              <a:round/>
            </a:ln>
            <a:effectLst/>
          </c:spPr>
          <c:marker>
            <c:symbol val="none"/>
          </c:marker>
          <c:cat>
            <c:numRef>
              <c:f>Feuil4!$A$2:$A$53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Feuil4!$H$2:$H$53</c:f>
              <c:numCache>
                <c:formatCode>General</c:formatCode>
                <c:ptCount val="52"/>
                <c:pt idx="0">
                  <c:v>0.18148820326678766</c:v>
                </c:pt>
                <c:pt idx="1">
                  <c:v>0.54446460980036293</c:v>
                </c:pt>
                <c:pt idx="2">
                  <c:v>0.18148820326678766</c:v>
                </c:pt>
                <c:pt idx="3">
                  <c:v>1.2704174228675136</c:v>
                </c:pt>
                <c:pt idx="4">
                  <c:v>1.8148820326678767</c:v>
                </c:pt>
                <c:pt idx="5">
                  <c:v>1.4519056261343013</c:v>
                </c:pt>
                <c:pt idx="6">
                  <c:v>1.4519056261343013</c:v>
                </c:pt>
                <c:pt idx="7">
                  <c:v>0</c:v>
                </c:pt>
                <c:pt idx="8">
                  <c:v>1.6333938294010888</c:v>
                </c:pt>
                <c:pt idx="9">
                  <c:v>0.72595281306715065</c:v>
                </c:pt>
                <c:pt idx="10">
                  <c:v>0.90744101633393837</c:v>
                </c:pt>
                <c:pt idx="11">
                  <c:v>0.54446460980036293</c:v>
                </c:pt>
                <c:pt idx="12">
                  <c:v>0.18148820326678766</c:v>
                </c:pt>
                <c:pt idx="13">
                  <c:v>1.6333938294010888</c:v>
                </c:pt>
                <c:pt idx="14">
                  <c:v>0.36297640653357532</c:v>
                </c:pt>
                <c:pt idx="15">
                  <c:v>0.18148820326678766</c:v>
                </c:pt>
                <c:pt idx="16">
                  <c:v>1.0889292196007259</c:v>
                </c:pt>
                <c:pt idx="17">
                  <c:v>0</c:v>
                </c:pt>
                <c:pt idx="18">
                  <c:v>1.4519056261343013</c:v>
                </c:pt>
                <c:pt idx="19">
                  <c:v>1.0889292196007259</c:v>
                </c:pt>
                <c:pt idx="20">
                  <c:v>3.4482758620689653</c:v>
                </c:pt>
                <c:pt idx="21">
                  <c:v>15.426497277676951</c:v>
                </c:pt>
                <c:pt idx="22">
                  <c:v>17.059891107078041</c:v>
                </c:pt>
                <c:pt idx="23">
                  <c:v>20.508166969147005</c:v>
                </c:pt>
                <c:pt idx="24">
                  <c:v>3.6297640653357535</c:v>
                </c:pt>
                <c:pt idx="25">
                  <c:v>1.2704174228675136</c:v>
                </c:pt>
                <c:pt idx="26">
                  <c:v>0.54446460980036293</c:v>
                </c:pt>
                <c:pt idx="27">
                  <c:v>1.8148820326678767</c:v>
                </c:pt>
                <c:pt idx="28">
                  <c:v>1.6333938294010888</c:v>
                </c:pt>
                <c:pt idx="29">
                  <c:v>0.18148820326678766</c:v>
                </c:pt>
                <c:pt idx="30">
                  <c:v>6.7150635208711433</c:v>
                </c:pt>
                <c:pt idx="31">
                  <c:v>5.0816696914700543</c:v>
                </c:pt>
                <c:pt idx="32">
                  <c:v>0.18148820326678766</c:v>
                </c:pt>
                <c:pt idx="33">
                  <c:v>1.2704174228675136</c:v>
                </c:pt>
                <c:pt idx="34">
                  <c:v>0.18148820326678766</c:v>
                </c:pt>
                <c:pt idx="35">
                  <c:v>0.54446460980036293</c:v>
                </c:pt>
                <c:pt idx="36">
                  <c:v>0.72595281306715065</c:v>
                </c:pt>
                <c:pt idx="37">
                  <c:v>0</c:v>
                </c:pt>
                <c:pt idx="38">
                  <c:v>0.54446460980036293</c:v>
                </c:pt>
                <c:pt idx="39">
                  <c:v>0.18148820326678766</c:v>
                </c:pt>
                <c:pt idx="40">
                  <c:v>0</c:v>
                </c:pt>
                <c:pt idx="41">
                  <c:v>0.36297640653357532</c:v>
                </c:pt>
                <c:pt idx="42">
                  <c:v>0.36297640653357532</c:v>
                </c:pt>
                <c:pt idx="43">
                  <c:v>0.54446460980036293</c:v>
                </c:pt>
                <c:pt idx="44">
                  <c:v>0</c:v>
                </c:pt>
                <c:pt idx="45">
                  <c:v>0.36297640653357532</c:v>
                </c:pt>
                <c:pt idx="46">
                  <c:v>0.36297640653357532</c:v>
                </c:pt>
                <c:pt idx="47">
                  <c:v>0.18148820326678766</c:v>
                </c:pt>
                <c:pt idx="48">
                  <c:v>0</c:v>
                </c:pt>
                <c:pt idx="49">
                  <c:v>0</c:v>
                </c:pt>
                <c:pt idx="50">
                  <c:v>0</c:v>
                </c:pt>
                <c:pt idx="51">
                  <c:v>0.18148820326678766</c:v>
                </c:pt>
              </c:numCache>
            </c:numRef>
          </c:val>
          <c:smooth val="0"/>
        </c:ser>
        <c:ser>
          <c:idx val="1"/>
          <c:order val="1"/>
          <c:tx>
            <c:strRef>
              <c:f>Feuil4!$I$1</c:f>
              <c:strCache>
                <c:ptCount val="1"/>
                <c:pt idx="0">
                  <c:v>Trektellen-Musicienne</c:v>
                </c:pt>
              </c:strCache>
            </c:strRef>
          </c:tx>
          <c:spPr>
            <a:ln w="28575" cap="rnd">
              <a:solidFill>
                <a:schemeClr val="accent2"/>
              </a:solidFill>
              <a:round/>
            </a:ln>
            <a:effectLst/>
          </c:spPr>
          <c:marker>
            <c:symbol val="none"/>
          </c:marker>
          <c:cat>
            <c:numRef>
              <c:f>Feuil4!$A$2:$A$53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Feuil4!$I$2:$I$53</c:f>
              <c:numCache>
                <c:formatCode>General</c:formatCode>
                <c:ptCount val="52"/>
                <c:pt idx="0">
                  <c:v>1.537506466632178</c:v>
                </c:pt>
                <c:pt idx="1">
                  <c:v>1.6520951888256596</c:v>
                </c:pt>
                <c:pt idx="2">
                  <c:v>2.5931195033626486</c:v>
                </c:pt>
                <c:pt idx="3">
                  <c:v>2.4632695292291773</c:v>
                </c:pt>
                <c:pt idx="4">
                  <c:v>3.2966890843248837</c:v>
                </c:pt>
                <c:pt idx="5">
                  <c:v>5.7586652871184691</c:v>
                </c:pt>
                <c:pt idx="6">
                  <c:v>7.0897568546301084</c:v>
                </c:pt>
                <c:pt idx="7">
                  <c:v>6.3391101914123134</c:v>
                </c:pt>
                <c:pt idx="8">
                  <c:v>8.0062079668908446</c:v>
                </c:pt>
                <c:pt idx="9">
                  <c:v>12.379461976202794</c:v>
                </c:pt>
                <c:pt idx="10">
                  <c:v>5.846611484738748</c:v>
                </c:pt>
                <c:pt idx="11">
                  <c:v>5.3116916709777549</c:v>
                </c:pt>
                <c:pt idx="12">
                  <c:v>5.9705121572684945</c:v>
                </c:pt>
                <c:pt idx="13">
                  <c:v>8.0385411277806522</c:v>
                </c:pt>
                <c:pt idx="14">
                  <c:v>0.55302638385928604</c:v>
                </c:pt>
                <c:pt idx="15">
                  <c:v>3.5483704086911541</c:v>
                </c:pt>
                <c:pt idx="16">
                  <c:v>1.21960682876358</c:v>
                </c:pt>
                <c:pt idx="17">
                  <c:v>1.5212105535437144</c:v>
                </c:pt>
                <c:pt idx="18">
                  <c:v>1.3481634764614587</c:v>
                </c:pt>
                <c:pt idx="19">
                  <c:v>1.0721676151060529</c:v>
                </c:pt>
                <c:pt idx="20">
                  <c:v>0.97956544231764098</c:v>
                </c:pt>
                <c:pt idx="21">
                  <c:v>1.9583548887739266</c:v>
                </c:pt>
                <c:pt idx="22">
                  <c:v>1.9635281945162959</c:v>
                </c:pt>
                <c:pt idx="23">
                  <c:v>2.5056906363166065</c:v>
                </c:pt>
                <c:pt idx="24">
                  <c:v>1.2744438696326954</c:v>
                </c:pt>
                <c:pt idx="25">
                  <c:v>1.1991722710812209</c:v>
                </c:pt>
                <c:pt idx="26">
                  <c:v>0.71055354371443347</c:v>
                </c:pt>
                <c:pt idx="27">
                  <c:v>0.37997930677703051</c:v>
                </c:pt>
                <c:pt idx="28">
                  <c:v>0.34402483186756333</c:v>
                </c:pt>
                <c:pt idx="29">
                  <c:v>0.20822555613036731</c:v>
                </c:pt>
                <c:pt idx="30">
                  <c:v>0.16632177961717537</c:v>
                </c:pt>
                <c:pt idx="31">
                  <c:v>0.46068287635799277</c:v>
                </c:pt>
                <c:pt idx="32">
                  <c:v>0.67097775478530786</c:v>
                </c:pt>
                <c:pt idx="33">
                  <c:v>0.81686497672012415</c:v>
                </c:pt>
                <c:pt idx="34">
                  <c:v>0.30186239006725296</c:v>
                </c:pt>
                <c:pt idx="35">
                  <c:v>3.673047077082256E-2</c:v>
                </c:pt>
                <c:pt idx="36">
                  <c:v>3.8282462493533363E-2</c:v>
                </c:pt>
                <c:pt idx="37">
                  <c:v>5.2250387997930678E-2</c:v>
                </c:pt>
                <c:pt idx="38">
                  <c:v>2.4314536989136059E-2</c:v>
                </c:pt>
                <c:pt idx="39">
                  <c:v>3.5178479048111742E-2</c:v>
                </c:pt>
                <c:pt idx="40">
                  <c:v>8.2772891877909982E-3</c:v>
                </c:pt>
                <c:pt idx="41">
                  <c:v>7.5012933264355921E-3</c:v>
                </c:pt>
                <c:pt idx="42">
                  <c:v>1.5002586652871184E-2</c:v>
                </c:pt>
                <c:pt idx="43">
                  <c:v>9.337816864976721E-2</c:v>
                </c:pt>
                <c:pt idx="44">
                  <c:v>6.0010346611484737E-2</c:v>
                </c:pt>
                <c:pt idx="45">
                  <c:v>1.5778582514226591E-2</c:v>
                </c:pt>
                <c:pt idx="46">
                  <c:v>2.4573202276254529E-2</c:v>
                </c:pt>
                <c:pt idx="47">
                  <c:v>5.638903259182617E-2</c:v>
                </c:pt>
                <c:pt idx="48">
                  <c:v>2.1210553543714435E-2</c:v>
                </c:pt>
                <c:pt idx="49">
                  <c:v>8.0186239006725286E-3</c:v>
                </c:pt>
                <c:pt idx="50">
                  <c:v>2.3279875840662182E-3</c:v>
                </c:pt>
                <c:pt idx="51">
                  <c:v>1.4743921365752716E-2</c:v>
                </c:pt>
              </c:numCache>
            </c:numRef>
          </c:val>
          <c:smooth val="0"/>
        </c:ser>
        <c:dLbls>
          <c:showLegendKey val="0"/>
          <c:showVal val="0"/>
          <c:showCatName val="0"/>
          <c:showSerName val="0"/>
          <c:showPercent val="0"/>
          <c:showBubbleSize val="0"/>
        </c:dLbls>
        <c:smooth val="0"/>
        <c:axId val="-72988272"/>
        <c:axId val="-76572640"/>
      </c:lineChart>
      <c:dateAx>
        <c:axId val="-7298827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6572640"/>
        <c:crosses val="autoZero"/>
        <c:auto val="1"/>
        <c:lblOffset val="100"/>
        <c:baseTimeUnit val="days"/>
      </c:dateAx>
      <c:valAx>
        <c:axId val="-76572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2988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a:t>Passage de la Grive mauvis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tx>
            <c:strRef>
              <c:f>Feuil4!$F$1</c:f>
              <c:strCache>
                <c:ptCount val="1"/>
                <c:pt idx="0">
                  <c:v>Grive mauvis</c:v>
                </c:pt>
              </c:strCache>
            </c:strRef>
          </c:tx>
          <c:spPr>
            <a:ln w="28575" cap="rnd">
              <a:solidFill>
                <a:srgbClr val="FFC000"/>
              </a:solidFill>
              <a:round/>
            </a:ln>
            <a:effectLst/>
          </c:spPr>
          <c:marker>
            <c:symbol val="none"/>
          </c:marker>
          <c:cat>
            <c:numRef>
              <c:f>Feuil4!$A$2:$A$53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Feuil4!$F$2:$F$53</c:f>
              <c:numCache>
                <c:formatCode>General</c:formatCode>
                <c:ptCount val="52"/>
                <c:pt idx="0">
                  <c:v>0</c:v>
                </c:pt>
                <c:pt idx="1">
                  <c:v>0</c:v>
                </c:pt>
                <c:pt idx="2">
                  <c:v>0</c:v>
                </c:pt>
                <c:pt idx="3">
                  <c:v>0</c:v>
                </c:pt>
                <c:pt idx="4">
                  <c:v>5.5005500550055E-2</c:v>
                </c:pt>
                <c:pt idx="5">
                  <c:v>5.5005500550055E-2</c:v>
                </c:pt>
                <c:pt idx="6">
                  <c:v>0.11001100110011</c:v>
                </c:pt>
                <c:pt idx="7">
                  <c:v>5.5005500550055E-2</c:v>
                </c:pt>
                <c:pt idx="8">
                  <c:v>0.55005500550055009</c:v>
                </c:pt>
                <c:pt idx="9">
                  <c:v>0.44004400440044</c:v>
                </c:pt>
                <c:pt idx="10">
                  <c:v>0.16501650165016502</c:v>
                </c:pt>
                <c:pt idx="11">
                  <c:v>0.27502750275027504</c:v>
                </c:pt>
                <c:pt idx="12">
                  <c:v>0.11001100110011</c:v>
                </c:pt>
                <c:pt idx="13">
                  <c:v>0.82508250825082496</c:v>
                </c:pt>
                <c:pt idx="14">
                  <c:v>5.5005500550055E-2</c:v>
                </c:pt>
                <c:pt idx="15">
                  <c:v>0.33003300330033003</c:v>
                </c:pt>
                <c:pt idx="16">
                  <c:v>0.33003300330033003</c:v>
                </c:pt>
                <c:pt idx="17">
                  <c:v>5.5005500550055E-2</c:v>
                </c:pt>
                <c:pt idx="18">
                  <c:v>0.44004400440044</c:v>
                </c:pt>
                <c:pt idx="19">
                  <c:v>0.77007700770077003</c:v>
                </c:pt>
                <c:pt idx="20">
                  <c:v>2.0902090209020905</c:v>
                </c:pt>
                <c:pt idx="21">
                  <c:v>6.8206820682068212</c:v>
                </c:pt>
                <c:pt idx="22">
                  <c:v>8.0858085808580853</c:v>
                </c:pt>
                <c:pt idx="23">
                  <c:v>8.0858085808580853</c:v>
                </c:pt>
                <c:pt idx="24">
                  <c:v>3.3003300330032999</c:v>
                </c:pt>
                <c:pt idx="25">
                  <c:v>1.3751375137513753</c:v>
                </c:pt>
                <c:pt idx="26">
                  <c:v>1.1001100110011002</c:v>
                </c:pt>
                <c:pt idx="27">
                  <c:v>2.8602860286028604</c:v>
                </c:pt>
                <c:pt idx="28">
                  <c:v>2.0902090209020905</c:v>
                </c:pt>
                <c:pt idx="29">
                  <c:v>1.0451045104510452</c:v>
                </c:pt>
                <c:pt idx="30">
                  <c:v>7.0957095709570952</c:v>
                </c:pt>
                <c:pt idx="31">
                  <c:v>8.8008800880088014</c:v>
                </c:pt>
                <c:pt idx="32">
                  <c:v>0.77007700770077003</c:v>
                </c:pt>
                <c:pt idx="33">
                  <c:v>4.6754675467546756</c:v>
                </c:pt>
                <c:pt idx="34">
                  <c:v>0.33003300330033003</c:v>
                </c:pt>
                <c:pt idx="35">
                  <c:v>0.60506050605060502</c:v>
                </c:pt>
                <c:pt idx="36">
                  <c:v>1.9801980198019802</c:v>
                </c:pt>
                <c:pt idx="37">
                  <c:v>0.49504950495049505</c:v>
                </c:pt>
                <c:pt idx="38">
                  <c:v>2.0902090209020905</c:v>
                </c:pt>
                <c:pt idx="39">
                  <c:v>2.6952695269526949</c:v>
                </c:pt>
                <c:pt idx="40">
                  <c:v>0.22002200220022</c:v>
                </c:pt>
                <c:pt idx="41">
                  <c:v>3.3003300330032999</c:v>
                </c:pt>
                <c:pt idx="42">
                  <c:v>5.2805280528052805</c:v>
                </c:pt>
                <c:pt idx="43">
                  <c:v>8.8558855885588557</c:v>
                </c:pt>
                <c:pt idx="44">
                  <c:v>1.0451045104510452</c:v>
                </c:pt>
                <c:pt idx="45">
                  <c:v>2.4202420242024201</c:v>
                </c:pt>
                <c:pt idx="46">
                  <c:v>4.1254125412541249</c:v>
                </c:pt>
                <c:pt idx="47">
                  <c:v>1.9251925192519255</c:v>
                </c:pt>
                <c:pt idx="48">
                  <c:v>0.33003300330033003</c:v>
                </c:pt>
                <c:pt idx="49">
                  <c:v>1.3201320132013201</c:v>
                </c:pt>
                <c:pt idx="50">
                  <c:v>0</c:v>
                </c:pt>
                <c:pt idx="51">
                  <c:v>0.16501650165016502</c:v>
                </c:pt>
              </c:numCache>
            </c:numRef>
          </c:val>
          <c:smooth val="0"/>
        </c:ser>
        <c:ser>
          <c:idx val="1"/>
          <c:order val="1"/>
          <c:tx>
            <c:strRef>
              <c:f>Feuil4!$G$1</c:f>
              <c:strCache>
                <c:ptCount val="1"/>
                <c:pt idx="0">
                  <c:v>Trektellen-Mauvis</c:v>
                </c:pt>
              </c:strCache>
            </c:strRef>
          </c:tx>
          <c:spPr>
            <a:ln w="28575" cap="rnd">
              <a:solidFill>
                <a:srgbClr val="C00000"/>
              </a:solidFill>
              <a:round/>
            </a:ln>
            <a:effectLst/>
          </c:spPr>
          <c:marker>
            <c:symbol val="none"/>
          </c:marker>
          <c:cat>
            <c:numRef>
              <c:f>Feuil4!$A$2:$A$53</c:f>
              <c:numCache>
                <c:formatCode>m/d/yyyy</c:formatCode>
                <c:ptCount val="52"/>
                <c:pt idx="0">
                  <c:v>45926</c:v>
                </c:pt>
                <c:pt idx="1">
                  <c:v>45927</c:v>
                </c:pt>
                <c:pt idx="2">
                  <c:v>45928</c:v>
                </c:pt>
                <c:pt idx="3">
                  <c:v>45937</c:v>
                </c:pt>
                <c:pt idx="4">
                  <c:v>45938</c:v>
                </c:pt>
                <c:pt idx="5">
                  <c:v>45939</c:v>
                </c:pt>
                <c:pt idx="6">
                  <c:v>45940</c:v>
                </c:pt>
                <c:pt idx="7">
                  <c:v>45942</c:v>
                </c:pt>
                <c:pt idx="8">
                  <c:v>45943</c:v>
                </c:pt>
                <c:pt idx="9">
                  <c:v>45944</c:v>
                </c:pt>
                <c:pt idx="10">
                  <c:v>45946</c:v>
                </c:pt>
                <c:pt idx="11">
                  <c:v>45947</c:v>
                </c:pt>
                <c:pt idx="12">
                  <c:v>45948</c:v>
                </c:pt>
                <c:pt idx="13">
                  <c:v>45949</c:v>
                </c:pt>
                <c:pt idx="14">
                  <c:v>45954</c:v>
                </c:pt>
                <c:pt idx="15">
                  <c:v>45959</c:v>
                </c:pt>
                <c:pt idx="16">
                  <c:v>45960</c:v>
                </c:pt>
                <c:pt idx="17">
                  <c:v>45962</c:v>
                </c:pt>
                <c:pt idx="18">
                  <c:v>45963</c:v>
                </c:pt>
                <c:pt idx="19">
                  <c:v>45964</c:v>
                </c:pt>
                <c:pt idx="20">
                  <c:v>45965</c:v>
                </c:pt>
                <c:pt idx="21">
                  <c:v>45966</c:v>
                </c:pt>
                <c:pt idx="22">
                  <c:v>45967</c:v>
                </c:pt>
                <c:pt idx="23">
                  <c:v>45968</c:v>
                </c:pt>
                <c:pt idx="24">
                  <c:v>45969</c:v>
                </c:pt>
                <c:pt idx="25">
                  <c:v>45970</c:v>
                </c:pt>
                <c:pt idx="26">
                  <c:v>45971</c:v>
                </c:pt>
                <c:pt idx="27">
                  <c:v>45972</c:v>
                </c:pt>
                <c:pt idx="28">
                  <c:v>45973</c:v>
                </c:pt>
                <c:pt idx="29">
                  <c:v>45975</c:v>
                </c:pt>
                <c:pt idx="30">
                  <c:v>45976</c:v>
                </c:pt>
                <c:pt idx="31">
                  <c:v>45977</c:v>
                </c:pt>
                <c:pt idx="32">
                  <c:v>45978</c:v>
                </c:pt>
                <c:pt idx="33">
                  <c:v>45979</c:v>
                </c:pt>
                <c:pt idx="34">
                  <c:v>45980</c:v>
                </c:pt>
                <c:pt idx="35">
                  <c:v>45981</c:v>
                </c:pt>
                <c:pt idx="36">
                  <c:v>45991</c:v>
                </c:pt>
                <c:pt idx="37">
                  <c:v>45992</c:v>
                </c:pt>
                <c:pt idx="38">
                  <c:v>45993</c:v>
                </c:pt>
                <c:pt idx="39">
                  <c:v>45994</c:v>
                </c:pt>
                <c:pt idx="40">
                  <c:v>45998</c:v>
                </c:pt>
                <c:pt idx="41">
                  <c:v>45999</c:v>
                </c:pt>
                <c:pt idx="42">
                  <c:v>46000</c:v>
                </c:pt>
                <c:pt idx="43">
                  <c:v>46001</c:v>
                </c:pt>
                <c:pt idx="44">
                  <c:v>46002</c:v>
                </c:pt>
                <c:pt idx="45">
                  <c:v>46003</c:v>
                </c:pt>
                <c:pt idx="46">
                  <c:v>46004</c:v>
                </c:pt>
                <c:pt idx="47">
                  <c:v>46005</c:v>
                </c:pt>
                <c:pt idx="48">
                  <c:v>46006</c:v>
                </c:pt>
                <c:pt idx="49">
                  <c:v>46007</c:v>
                </c:pt>
                <c:pt idx="50">
                  <c:v>46010</c:v>
                </c:pt>
                <c:pt idx="51">
                  <c:v>46011</c:v>
                </c:pt>
              </c:numCache>
            </c:numRef>
          </c:cat>
          <c:val>
            <c:numRef>
              <c:f>Feuil4!$G$2:$G$53</c:f>
              <c:numCache>
                <c:formatCode>General</c:formatCode>
                <c:ptCount val="52"/>
                <c:pt idx="0">
                  <c:v>2.2658723110403591E-2</c:v>
                </c:pt>
                <c:pt idx="1">
                  <c:v>2.3239716010670351E-2</c:v>
                </c:pt>
                <c:pt idx="2">
                  <c:v>2.4152704853946685E-2</c:v>
                </c:pt>
                <c:pt idx="3">
                  <c:v>2.4683068372904482</c:v>
                </c:pt>
                <c:pt idx="4">
                  <c:v>1.9459942199506322</c:v>
                </c:pt>
                <c:pt idx="5">
                  <c:v>1.1148423766261577</c:v>
                </c:pt>
                <c:pt idx="6">
                  <c:v>1.4411943886045713</c:v>
                </c:pt>
                <c:pt idx="7">
                  <c:v>1.7570055293924309</c:v>
                </c:pt>
                <c:pt idx="8">
                  <c:v>4.262329914328447</c:v>
                </c:pt>
                <c:pt idx="9">
                  <c:v>5.6644317806436399</c:v>
                </c:pt>
                <c:pt idx="10">
                  <c:v>0.9324936049281477</c:v>
                </c:pt>
                <c:pt idx="11">
                  <c:v>3.6370985546556622</c:v>
                </c:pt>
                <c:pt idx="12">
                  <c:v>6.4088496838568627</c:v>
                </c:pt>
                <c:pt idx="13">
                  <c:v>12.890572477204328</c:v>
                </c:pt>
                <c:pt idx="14">
                  <c:v>0.12649045428664862</c:v>
                </c:pt>
                <c:pt idx="15">
                  <c:v>3.0873962720175561</c:v>
                </c:pt>
                <c:pt idx="16">
                  <c:v>3.5216469654740816</c:v>
                </c:pt>
                <c:pt idx="17">
                  <c:v>3.9655255412778851</c:v>
                </c:pt>
                <c:pt idx="18">
                  <c:v>3.6680571763413052</c:v>
                </c:pt>
                <c:pt idx="19">
                  <c:v>1.1085344537089756</c:v>
                </c:pt>
                <c:pt idx="20">
                  <c:v>0.70764935252491212</c:v>
                </c:pt>
                <c:pt idx="21">
                  <c:v>6.0058066090432378</c:v>
                </c:pt>
                <c:pt idx="22">
                  <c:v>15.871066055572802</c:v>
                </c:pt>
                <c:pt idx="23">
                  <c:v>10.825972706613525</c:v>
                </c:pt>
                <c:pt idx="24">
                  <c:v>2.3147587136485193</c:v>
                </c:pt>
                <c:pt idx="25">
                  <c:v>0.73703099348125967</c:v>
                </c:pt>
                <c:pt idx="26">
                  <c:v>0.5619861325294605</c:v>
                </c:pt>
                <c:pt idx="27">
                  <c:v>0.4164059115197612</c:v>
                </c:pt>
                <c:pt idx="28">
                  <c:v>0.53882941550454255</c:v>
                </c:pt>
                <c:pt idx="29">
                  <c:v>0.41242196020364635</c:v>
                </c:pt>
                <c:pt idx="30">
                  <c:v>0.40926799874505537</c:v>
                </c:pt>
                <c:pt idx="31">
                  <c:v>0.88642916783556913</c:v>
                </c:pt>
                <c:pt idx="32">
                  <c:v>0.83090284636721734</c:v>
                </c:pt>
                <c:pt idx="33">
                  <c:v>0.47832315489104726</c:v>
                </c:pt>
                <c:pt idx="34">
                  <c:v>8.4575966481689593E-2</c:v>
                </c:pt>
                <c:pt idx="35">
                  <c:v>1.7844781936764732E-2</c:v>
                </c:pt>
                <c:pt idx="36">
                  <c:v>4.9716392465684066E-2</c:v>
                </c:pt>
                <c:pt idx="37">
                  <c:v>7.7521052692736098E-2</c:v>
                </c:pt>
                <c:pt idx="38">
                  <c:v>1.6101803235964454E-2</c:v>
                </c:pt>
                <c:pt idx="39">
                  <c:v>8.4160971552927621E-2</c:v>
                </c:pt>
                <c:pt idx="40">
                  <c:v>1.2698844820116297E-2</c:v>
                </c:pt>
                <c:pt idx="41">
                  <c:v>3.1954609514671731E-2</c:v>
                </c:pt>
                <c:pt idx="42">
                  <c:v>7.8766037479022E-2</c:v>
                </c:pt>
                <c:pt idx="43">
                  <c:v>8.4243970538680019E-2</c:v>
                </c:pt>
                <c:pt idx="44">
                  <c:v>0.11196563177997966</c:v>
                </c:pt>
                <c:pt idx="45">
                  <c:v>6.3079229171819517E-2</c:v>
                </c:pt>
                <c:pt idx="46">
                  <c:v>5.1874366095246309E-2</c:v>
                </c:pt>
                <c:pt idx="47">
                  <c:v>8.0426017194069888E-2</c:v>
                </c:pt>
                <c:pt idx="48">
                  <c:v>2.1330739338365285E-2</c:v>
                </c:pt>
                <c:pt idx="49">
                  <c:v>3.112461965714779E-2</c:v>
                </c:pt>
                <c:pt idx="50">
                  <c:v>7.7189056749726523E-3</c:v>
                </c:pt>
                <c:pt idx="51">
                  <c:v>2.7223667326785269E-2</c:v>
                </c:pt>
              </c:numCache>
            </c:numRef>
          </c:val>
          <c:smooth val="0"/>
        </c:ser>
        <c:dLbls>
          <c:showLegendKey val="0"/>
          <c:showVal val="0"/>
          <c:showCatName val="0"/>
          <c:showSerName val="0"/>
          <c:showPercent val="0"/>
          <c:showBubbleSize val="0"/>
        </c:dLbls>
        <c:smooth val="0"/>
        <c:axId val="-76576448"/>
        <c:axId val="-76570464"/>
      </c:lineChart>
      <c:dateAx>
        <c:axId val="-76576448"/>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6570464"/>
        <c:crosses val="autoZero"/>
        <c:auto val="1"/>
        <c:lblOffset val="100"/>
        <c:baseTimeUnit val="days"/>
      </c:dateAx>
      <c:valAx>
        <c:axId val="-76570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6576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fr-FR" sz="1100"/>
              <a:t>Nombre de cris de contact par heure - Grive mauvis</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spPr>
            <a:ln w="28575" cap="rnd">
              <a:solidFill>
                <a:schemeClr val="accent1"/>
              </a:solidFill>
              <a:round/>
            </a:ln>
            <a:effectLst/>
          </c:spPr>
          <c:marker>
            <c:symbol val="none"/>
          </c:marker>
          <c:cat>
            <c:strRef>
              <c:f>[Trektellen_data_sum_4363_2025.xlsx]Feuil4!$B$1:$Q$1</c:f>
              <c:strCache>
                <c:ptCount val="16"/>
                <c:pt idx="0">
                  <c:v>17:45:00</c:v>
                </c:pt>
                <c:pt idx="1">
                  <c:v>18:00:00</c:v>
                </c:pt>
                <c:pt idx="2">
                  <c:v>19:00:00</c:v>
                </c:pt>
                <c:pt idx="3">
                  <c:v>20:00:00</c:v>
                </c:pt>
                <c:pt idx="4">
                  <c:v>21:00:00</c:v>
                </c:pt>
                <c:pt idx="5">
                  <c:v>22:00:00</c:v>
                </c:pt>
                <c:pt idx="6">
                  <c:v>23:00:00</c:v>
                </c:pt>
                <c:pt idx="7">
                  <c:v>00:00:00</c:v>
                </c:pt>
                <c:pt idx="8">
                  <c:v>01:00:00</c:v>
                </c:pt>
                <c:pt idx="9">
                  <c:v>02:00:00</c:v>
                </c:pt>
                <c:pt idx="10">
                  <c:v>03:00:00</c:v>
                </c:pt>
                <c:pt idx="11">
                  <c:v>04:00:00</c:v>
                </c:pt>
                <c:pt idx="12">
                  <c:v>05:00:00</c:v>
                </c:pt>
                <c:pt idx="13">
                  <c:v>06:00:00</c:v>
                </c:pt>
                <c:pt idx="14">
                  <c:v>07:00:00</c:v>
                </c:pt>
                <c:pt idx="15">
                  <c:v>08:00:00</c:v>
                </c:pt>
              </c:strCache>
            </c:strRef>
          </c:cat>
          <c:val>
            <c:numRef>
              <c:f>[Trektellen_data_sum_4363_2025.xlsx]Feuil4!$B$50:$Q$50</c:f>
              <c:numCache>
                <c:formatCode>General</c:formatCode>
                <c:ptCount val="16"/>
                <c:pt idx="0">
                  <c:v>1</c:v>
                </c:pt>
                <c:pt idx="1">
                  <c:v>32</c:v>
                </c:pt>
                <c:pt idx="2">
                  <c:v>29</c:v>
                </c:pt>
                <c:pt idx="3">
                  <c:v>133</c:v>
                </c:pt>
                <c:pt idx="4">
                  <c:v>169</c:v>
                </c:pt>
                <c:pt idx="5">
                  <c:v>170</c:v>
                </c:pt>
                <c:pt idx="6">
                  <c:v>141</c:v>
                </c:pt>
                <c:pt idx="7">
                  <c:v>113</c:v>
                </c:pt>
                <c:pt idx="8">
                  <c:v>99</c:v>
                </c:pt>
                <c:pt idx="9">
                  <c:v>90</c:v>
                </c:pt>
                <c:pt idx="10">
                  <c:v>91</c:v>
                </c:pt>
                <c:pt idx="11">
                  <c:v>84</c:v>
                </c:pt>
                <c:pt idx="12">
                  <c:v>105</c:v>
                </c:pt>
                <c:pt idx="13">
                  <c:v>256</c:v>
                </c:pt>
                <c:pt idx="14">
                  <c:v>375</c:v>
                </c:pt>
                <c:pt idx="15">
                  <c:v>20</c:v>
                </c:pt>
              </c:numCache>
            </c:numRef>
          </c:val>
          <c:smooth val="0"/>
        </c:ser>
        <c:dLbls>
          <c:showLegendKey val="0"/>
          <c:showVal val="0"/>
          <c:showCatName val="0"/>
          <c:showSerName val="0"/>
          <c:showPercent val="0"/>
          <c:showBubbleSize val="0"/>
        </c:dLbls>
        <c:smooth val="0"/>
        <c:axId val="-76569920"/>
        <c:axId val="-76576992"/>
      </c:lineChart>
      <c:catAx>
        <c:axId val="-7656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6576992"/>
        <c:crosses val="autoZero"/>
        <c:auto val="1"/>
        <c:lblAlgn val="ctr"/>
        <c:lblOffset val="100"/>
        <c:noMultiLvlLbl val="0"/>
      </c:catAx>
      <c:valAx>
        <c:axId val="-76576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6569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6</Pages>
  <Words>1516</Words>
  <Characters>8344</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Compte Microsoft</cp:lastModifiedBy>
  <cp:revision>11</cp:revision>
  <cp:lastPrinted>2026-01-08T13:03:00Z</cp:lastPrinted>
  <dcterms:created xsi:type="dcterms:W3CDTF">2026-01-05T15:32:00Z</dcterms:created>
  <dcterms:modified xsi:type="dcterms:W3CDTF">2026-01-08T13:11:00Z</dcterms:modified>
</cp:coreProperties>
</file>